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450</w:t>
      </w:r>
    </w:p>
    <w:p>
      <w:r>
        <w:rPr>
          <w:b/>
        </w:rPr>
        <w:t xml:space="preserve">Datum: </w:t>
      </w:r>
      <w:r>
        <w:t>1923-04-11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Edward Larson (–, man)</w:t>
      </w:r>
    </w:p>
    <w:p>
      <w:r>
        <w:rPr>
          <w:b w:val="0"/>
        </w:rPr>
        <w:t>Herr talman! Jag ber att få tacka utskottet för den välvilliga motivering det skänkt min motion. Det är blott skada, att utskottet icke varit konsekvent och sträckt sin välvilja något längre. Ehuru utskottet uttalat önskvärdheten av ett i möjligaste mån effektivt arbete för att nå det syfte, vartill motionen siktar, så har utskottet likväl icke kunnat tillstyrka det lilla belopp, som jag i motionen föreslagit.</w:t>
        <w:br/>
        <w:br/>
        <w:t xml:space="preserve">Orsaken härtill synes i första hand vara de stora anslag, som de senaste åren lämnats till dispensärverksamheten. Ja, jag skall inte tadla utskottet, för att det kommit med ett sådant skäl. Den fråga, som framförts i motionen, hör väl, förmodar jag, enligt utskottets mening till de mindre, men hade utskottet kunnat genomtränga densamma, så skulle utskottet säkerligen icke åberopat dispensärverksamheten såsom ett skäl för avslag. Dispensärverksamheten utgör ju ett komplement till anstaltsvården, mitt förslag avser att genom upplysning förebygga sjukdom. Dispensärverksamheten har till första uppgift att hygieniskt uppfostra de sjuka och detta sker genom skolade </w:t>
      </w:r>
      <w:r>
        <w:rPr>
          <w:b/>
        </w:rPr>
        <w:t>sjuksköterskor³</w:t>
      </w:r>
      <w:r>
        <w:rPr>
          <w:b w:val="0"/>
        </w:rPr>
        <w:t xml:space="preserve"> och sjukbesökare. Det är alltså två vitt skilda uppgifter, som dessa båda olika slag av verksamhet avse.</w:t>
        <w:br/>
        <w:br/>
        <w:t>Dispensärverksamheten har en stor uppgift att fylla. Jag är själv i den ställningen, att jag vet, vilket gott och välsignelsebringande arbete den utför. Men jag tror, att om min motion bleve bifallen, skulle det arbete, den åsyftar, och dispensärverksamheten ömsesidigt komplettera varandra.</w:t>
        <w:br/>
        <w:br/>
        <w:t>Även Nationalföreningens mot tuberkulos verksamhet är ju åberopad såsom ett skäl mot detta anslag. Ja, det är alldeles givet, att den föreningen gör ofantligt mycket gott, men dess uppgift är dock icke inriktad på det uppslag jag tillåtit mig framlägga. Den viktigaste av Nationalföreningens mot tuberkulos uppgifter är ju och har varit att främja dispensärverksamheten, och den har givit mycket stora anslag härtill under de senare åren. Den har vidare mellan 1912 och 1917 anordnat icke mindre än tolv olika kurser för utbildning av dispensärsköterskor, så dess arbete är ju, kan man säga, ganska omfattande lagt. I detta arbete ingår visserligen också upplysningsverksamhet, och föreningen håller årligen ett hundratal föredrag, men dessa föredrag torde i ringa grad nå landsbygdens befolkning. Föredragen hållas väl, föreställer jag mig, i de tätt befolkade, stadsliknande samhällena, men nå, som sagt, icke landsbefolkningen, som dock är i så stort behov att få upplysning i denna sak.</w:t>
        <w:br/>
        <w:br/>
        <w:t>Som frågan nu ligger, har jag, herr talman, intet yrkande i denna punkt.</w:t>
      </w:r>
    </w:p>
    <w:p>
      <w:pPr>
        <w:pStyle w:val="Heading2"/>
      </w:pPr>
      <w:r>
        <w:t>2. Herman Lindqvist (Socialdemokraterna, man)</w:t>
      </w:r>
    </w:p>
    <w:p>
      <w:r>
        <w:rPr>
          <w:b w:val="0"/>
        </w:rPr>
        <w:t>Jag tror, att herr Hederstierna väsentligen överdriver farhågorna i detta fall, att döma av hans utläggning här av Kungl. Maj:ts förslag. Det är ju så, att levnadskostnaderna fallit, och har det inte varit i så raskt tempo, så äro de dock på nedgående, och den lilla sänkning av dessa avgifter, som Kungl. Maj:t nu föreslår, har beräknats skola svara emot den sänkning av levnadskostnaderna, som ägt rum. Håller denna beräkning streck, så blir det ju inte i något avseende någon ytterligare börda, som lägges på landstingen, ty någon merutgift uppstår då ej.</w:t>
        <w:br/>
        <w:br/>
        <w:t>Herr Hederstierna riktade sedan en erinran mot, att Kungl. Maj:t i sitt förslag ej hållit sig till kalenderår. Men herrarna veta ju så innerligt väl, att det skett en omläggning inom statsförvaltningen och att ett nytt budgetår införts, som börjar den 1 juli. När budgeten skall göras upp, går det självfallet lättare och stämmer bättre, om man får följa budgetåret och inte behöver dela upp ett anslag i ena fallet så och i andra fallet så. Det är endast av den anledningen, man inte följt kalenderåret i detta avseende.</w:t>
        <w:br/>
        <w:br/>
        <w:t>Nu är det ju alldeles givet, att man såvitt möjligt bör tänka på, som herr Hederstierna sade, att såvida inte kommuner och landsting, när det gäller att företräda det allmännas hjälp, klara sig, staten bör träda hjälpande emellan. Staten är ju den största institutionen och dess utgifter kunna fördelas på de skattdragande på annat sätt än kommunernas eller åtminstone bredas ut mera. Men jag försäkrar, att det här åtminstone icke varit vår avsikt, att staten skulle skaka av sig sin börda</w:t>
        <w:br/>
        <w:br/>
        <w:t xml:space="preserve">och låta den falla på landstingen, utan man har ansett, att då allting annat fått prutas ned, man bort pröva, om det inte även kunde prutas på detta område. Detta för mig i minnet osökt tillbaka till de dagar och veckor, då vi sutto och gjorde upp den här femte huvudtiteln så, som den skulle föreläggas riksdagen. Det var rätt pinsamt, ty trycket var hårt och besparingar skulle göras överallt. Man frågade sig: Kunna vi pruta på detta anslag till sjukvård, till läkarevård och till allt detta andra, som femte huvudtiteln omfattar? Jag försäkrar, att det gjordes det starkast möjliga motstånd från detta departement mot finansministern och dem, som skulle sköta om budgeten, och vi fingo också våra erinringar och det sades, att socialdepartementet var det omöjligaste av alla departementen, därför att vi inte ville </w:t>
      </w:r>
      <w:r>
        <w:rPr>
          <w:b/>
        </w:rPr>
        <w:t>maka³</w:t>
      </w:r>
      <w:r>
        <w:rPr>
          <w:b w:val="0"/>
        </w:rPr>
        <w:t xml:space="preserve"> åt oss. Men vi nödgades i alla fall göra det; vi fingo göra våra nedprutningar, hur obehagligt det än kändes, ty nöden har ju ingen lag. Det var i ett tvångsläge vi befunno oss, och de jämkningar, som vi blevo tvungna att göra, drabbade även denna punkt.</w:t>
        <w:br/>
        <w:br/>
        <w:t>Nu har emellertid andra kammaren fattat sitt beslut, och jag antager, att första kammaren följer det för att känna sig riktigt på den säkra sidan. Det är väl ingen riksolycka skedd därmed, förmodar jag. Jag har emellertid velat göra dessa erinringar för att söka övertyga kam-</w:t>
        <w:br/>
        <w:br/>
        <w:t>maren om, att det inte varit något nöje för oss att pruta, men vi ha.</w:t>
        <w:br/>
        <w:br/>
        <w:t>gjort det i detta fall, då det inte skulle medföra några ökade pålagor för patienterna och inte heller, som vi hoppas, någon större börda för landstingen, utan det hela skulle jämna ut sig på grund av livsmedelsprisens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