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1597</w:t>
      </w:r>
    </w:p>
    <w:p>
      <w:r>
        <w:rPr>
          <w:b/>
        </w:rPr>
        <w:t xml:space="preserve">Datum: </w:t>
      </w:r>
      <w:r>
        <w:t>1923-04-23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Janson (Frisinnade folkpartiet, man)</w:t>
      </w:r>
    </w:p>
    <w:p>
      <w:r>
        <w:rPr>
          <w:b w:val="0"/>
        </w:rPr>
        <w:t>Herr talman, mina damer och herrar! Jag och fyra medbrottslingar i kammaren ha väckt en motion, däri vi yrkat på en utredning om upplösning av sambandet mellan staten och kyrkan. Nu säger utskottet i slutet av sitt utlåtande, att vi väckt denna motion i oträngt mål, och det är just det, jag i första hand skulle vilja vända mig mot, och påstå, att det ingalunda är i oträngt mål, då frikyrkokonferensen, den tredje i ordningen, som hölls för några år sedan, enhälligt beslöt att uttala sig i enlighet med denna tanke. Dessutom är jag medveten om att ett stort politiskt parti vid sin kongress uttalat sig enhälligt för saken. Vi kunna sålunda säga, att det är flera hundra tusen inom vårt land, som hysa denna tanke och hyst den länge, och för den skull vill jag tillbakavisa, att det här kommit fram i oträngt mål. För min personliga del brukar jag icke besvära riksdagen så värst mycket, så att jag tycker, att det är nästan för mycket, när man kommer med ett önskemål, som ligger på ens hjärta, att man då får såsom svar, att det är väckt i oträngt mål.</w:t>
        <w:br/>
        <w:br/>
        <w:t>Jag skall be att få citera vad det senaste frikyrkomötet antog i sin resolution, och då jag, såsom känt, är en av de frikyrkliga medlemmarna i denna kammare, har jag känt mig pliktig att vid detta tillfälle frambära denna motion. Det heter: »Mötet erkänner den betydelse, som den svenska statskyrkan haft för vårt folks religiösa och sedliga fostran, men vill dock som sin mening fram-</w:t>
        <w:br/>
        <w:br/>
        <w:t>1. Att statskyrkosystemet icke står i överensstämmelse med de Ang. i Nya Testamentet klart och tydligt framställda grundprinciperna Upphävande. för Kristi församlings organisation och uppbyggande i världen; ev mellan</w:t>
        <w:br/>
        <w:br/>
        <w:t>2. att detta system strider mot religionsfrihetens grundsats, svenska kyroch därmed också mot evangeliets anda; — kan och staten.</w:t>
        <w:br/>
        <w:br/>
        <w:t>3. att det ställer den kristna församlingen i ett för dess verk- = (Forts.) samhet och utveckling hämmande beroende av den världsliga makten och berövar församlingen rätten att själv bestämma i allt, som rör Guds rikes angelägenheter.</w:t>
        <w:br/>
        <w:br/>
        <w:t>Då statskyrkan av dessa skäl icke kan vara den kyrkoform, som bäst gagnar kristendomens sak bland vårt folk, uttalar sig frikyrkomötet för en upplösning av bandet mellan stat och kyrka. Men på det att denna upplösning icke må ske på ett sätt, som skulle kunna äventyra några religiösa och kulturella värden, bör den väl förberedas och föregås av en på vederbörande myndigheters initiativ verkställd utredning av frågan, på vad sätt statskyrkans avveckling lämpligast bör äga rum, och för övrigt av alla därmed sammanhängande spörsmål. Denna utredning bör snarast komma till stånd.»</w:t>
        <w:br/>
        <w:br/>
        <w:t>Då herr Kilbom hade väckt en motion i denna fråga, som innehåller en del motiv, som jag icke kunde vara med om och många av de frireligiösa i övrigt icke heller, ansåg Jag, för att utskottet skulle få några andra motiv, som leda till samma resultat, mig pliktig och tvungen att väcka denna motion, som också har underskrivits av fyra av mina kammarkamrater.</w:t>
        <w:br/>
        <w:br/>
        <w:t>Nu har utskottet behandlat den och kommit till det resultatet, att »då sålunda motionärernas yrkande ej avse en förutsättningslös utredning, då frågan om upplösande av sambandet mellan stat och kyrka icke är särskilt aktuell och då tidpunkten icke nu synes lämplig för igångsättande i oträngt mål av en omfattande och kostsam utredning, får utskottet hemställa, att förevarande motioner icke måt-</w:t>
        <w:br/>
        <w:br/>
        <w:t>| Utskottets första skäl för avslag är, att jag i olikhet mot 1909, då jag väckt en sådan motion, framhöll i min kläm, »huruvida och på vad sätt», medan jag i år icke begagnat ordet »huruvida» utan begagnat sådana ordalag, att »endast sättet för kyrkans skilsmässa från staten skall tagas i övervägande». Detta har utskottet hängt upp sig på och anser, att det måste först föregå en utredning om »huruvida», innan man kan komma till det resultatet, att saken skall utföras. Jag ber att få säga att i en motion, herr P. Waldenström väckt år 1908, finns inte ens detta »huruvida», utan han ansåg saken vara klar. Det gör jag också, och vi frikyrkliga i allmänhet anse, att det icke är tu tal om den saken, huruvida det skall ske, utan vi anse, att det skall ske.</w:t>
        <w:br/>
        <w:br/>
        <w:t>Det var vid 1908 års kyrkomöte herr P. Waldenström väckte ovannämnda motion. Jag ber herrarna lyssna på herr Waldenströms framställning, däri han föreslår »att kyrkomötet måtte i skrivelse till Kungl. Maj:t hemställa, att Kungl. Maj:t måtte genom kunniga och för den kristna kyrkans sanna väl nitälskande män låta utreda</w:t>
        <w:br/>
        <w:br/>
        <w:t>dels på vad sätt det nuvarande bandet mellan kyrkan och staten lämpligen bör kunna upplösas, dels i vad form staten efter en sådan upplösning må kunna, med hänsyn till sitt eget ändamål, stödja det fria kyrkliga arbetet samt göra sig till godo dess frukter för folkets lyftning och sunda moraliska utveckling». Det var såledesdå icke fråga om »huruvida», och jag kan icke för min personliga del någonsin gå in på det — nu då vi leva 15 år efter den tiden — je man skall sätta detta i fråga, utan jag har klart för mig, att så ör ske.</w:t>
        <w:br/>
        <w:br/>
        <w:t>Vidare säger utskottet, att »frågan om kyrkans skiljande från staten icke för närvarande synes vara särskilt aktuell», och motiverar detta därmed, att »svenska kyrkan företer en påfallande livaktighet, som vittnar om att kyrkan ännu har vida och djupa rötter hos vårt folk». Ja, det är just därför, att kyrkan har djupa och vida rötter hos vårt folk, som jag har önskat, att den skall vara skild från den kalla omfamningen, som den fått av statsmakterna, och vara en fri folkkyrka i en fri stat. Det är min tro, att det skall icke bara vara rötter, utan den skall växa upp i frihet och bli ett träd, varunder, såsom det heter, himmelens fåglar skola kunna bygga sina nästen. Jag tror, att friheten i religiösa saker är: absolut nödvändig, om det skall vara någon sanning däri, ty den kristliga principen är väl ändå den, att den fria viljan måste vara det avgörande med hänsyn till samfundsbildning o. s. v. Men här: lägger i alla fall staten sin kalla hand på kyrkan och försvårar kyrkans fria liv. Och med avseende på livaktigheten kan man sätta 1 fråga och fundera på vad som är livaktigt; det som för den ene anses vara livaktighet kan av den andra anses vara själva döden i grytan.</w:t>
        <w:br/>
        <w:br/>
        <w:t>Det tredje skälet är, att tiden icke skulle vara lämplig. Jag: anser då, att utskottet skulle ange något litet några riktlinjer för huru tiden skall se ut, då det skall vara lämpligt.</w:t>
        <w:br/>
        <w:br/>
        <w:t>Jag är förvånad över att en sådan splittring bland utskottets. ledamöter förefunnits. Det är ju olika meningar uttalade från partivänner av samma sort, och jag vill därför säga, att det enda riktiga och reella är ändå det yrkande, som icke går såsom katten kring het gröt utan går rakt på den linje, som blivit utstakad för länge sedan, om en utredning av ärendet.</w:t>
        <w:br/>
        <w:br/>
        <w:t>Jag ber att få citera något mera, om jag icke tröttar herrarna, av vad lektor Waldenström sagt, och jag ber att få säga, att det han sagt vill jag taga såsom fullkomligt överensstämmande med min åskådning och mina motiv. Han säger: »Ett folk utan religion är: ett folk på förfall, huru intelligent och ur ekonomiskt avseende lyckligt lottat det än må vara. Med religionens förfall följer sedernas förfall. Att söka bygga upp sedlighet utan religionens grund är” nonsens. Det är att bygga hus på grund av tomma äggskal. Men med sedlighetens förfall följer familjens upplösning, och därmed nedrives grunden för staten själv. Att genom yttre åtgärder, av vad slag de vara må, tro sig kunna uppehålla en stat, där folket förfaller i sedeslöshet, det är lika dåraktigt som att tro sig:</w:t>
        <w:br/>
        <w:br/>
        <w:t>kunna med pälsar uppehålla livsvärmen i en kropp, vars &lt;Ång. pulsådror äro öppna. Nej, utan religionen ingen sedlighet, utan a pph ärende sedlighet ingen framtid. Lika visst som ett sedeslöst liv för mellan den enskilda människan ned i en för tidig grav, lika visst svenska kyrhastar ett sedeslöst folk sin undergång till mötes. Att tala om att kenochstaten. staten icke har med religionen att skaffa, är därför lika orimligt, (Forts) som om någon sade, att staten icke bör bekymra sig om folkets and-</w:t>
        <w:br/>
        <w:br/>
        <w:t>liga hälsa, varpå dock deras egen framtid beror.</w:t>
        <w:br/>
        <w:br/>
        <w:t>Men om detta erkännes, så är därmed icke alls sagt, att statskyrkoformen är rätta formen för statens intresse för religionen. Att statskyrkan haft sin betydelse för folkets religiösa liv, det är jag mycket villig att erkänna. Jag har heller aldrig gjort mig skyldig till att bestrida det. Men därav följer alls icke, att den under alla förhållanden kan vara vad den en gång varit. Nytt vin fordrar nya läglar, säger Frälsaren. Därmed är icke sagt, att icke de gamla läglarna voro bra på sin tid. Den rock jag bar, när jag var femton år, passade bra och bör icke klandras därför, att jag icke får den på mig nu. Den behövde på den tiden emellanåt repareras, lappas, läggas ut och det gick an. Men sedan jag vuxit ur den, så måste den läggas av. |</w:t>
        <w:br/>
        <w:br/>
        <w:t>Statskyrkan är också en statsinstitution, men kyrkan är ingen sådan utan en andlig Herrens instiftelse. Det är i denna motsats, som grunden ligger till den alltjämt växande konflikt mellan stat och kyrka, vilken, ju längre det lider, gör statskyrkoformen desto mera olidlig.</w:t>
        <w:br/>
        <w:br/>
        <w:t xml:space="preserve">Kyrkan har i statskyrkoformen sökt statens stöd för sig. </w:t>
      </w:r>
      <w:r>
        <w:rPr>
          <w:b/>
        </w:rPr>
        <w:t>Hon²</w:t>
      </w:r>
      <w:r>
        <w:rPr>
          <w:b w:val="0"/>
        </w:rPr>
        <w:t xml:space="preserve"> har därigenom trott sig vinna yttre trygghet och styrka. Men om </w:t>
      </w:r>
      <w:r>
        <w:rPr>
          <w:b/>
        </w:rPr>
        <w:t>hon²</w:t>
      </w:r>
      <w:r>
        <w:rPr>
          <w:b w:val="0"/>
        </w:rPr>
        <w:t xml:space="preserve"> ock en tid vunnit vad </w:t>
      </w:r>
      <w:r>
        <w:rPr>
          <w:b/>
        </w:rPr>
        <w:t>hon²</w:t>
      </w:r>
      <w:r>
        <w:rPr>
          <w:b w:val="0"/>
        </w:rPr>
        <w:t xml:space="preserve"> önskat i det avseendet, så har utvecklingen lett därtill, att statskyrkoformen slutligen blivit och redan länge varit </w:t>
      </w:r>
      <w:r>
        <w:rPr>
          <w:b/>
        </w:rPr>
        <w:t>hennes²</w:t>
      </w:r>
      <w:r>
        <w:rPr>
          <w:b w:val="0"/>
        </w:rPr>
        <w:t xml:space="preserve"> vanmakt.</w:t>
        <w:br/>
        <w:br/>
        <w:t xml:space="preserve">Att en reformation är nödvändig, därom torde icke tankarna vara mycket delade. Men skall en sådan kunna ske, så måste den utgå från det erkännandet, att statskyrkan är en statsinstitution och icke någon Kristi kyrka i biblisk mening. Detta är ingen kränkning av </w:t>
      </w:r>
      <w:r>
        <w:rPr>
          <w:b/>
        </w:rPr>
        <w:t>hennes²</w:t>
      </w:r>
      <w:r>
        <w:rPr>
          <w:b w:val="0"/>
        </w:rPr>
        <w:t xml:space="preserve"> värdighet. — — —</w:t>
        <w:br/>
        <w:br/>
        <w:t>Men är detta erkänt, så måste man utan att blinka beslutsamt taga alla de vittomfattande konsekvenser, som därav följa. Att angiva alla dessa förutsätter emellertid en allvarlig och grundlig utredning. Men målet måste från början fattas i sikte. Och det är tvåfaldigt, nämligen dels att finna lämpliga former för upplösning av det nuvarande sambandet mellan kyrka och stat, dels att angiva den ordning, vari statens intresse för religionen må, efter en sådan upplösning, finna ett uttryck, som bäst motsvarar statens ändamål. Sedan må det komma an på kyrkan själv att, oberoende av staten, ordna sina egna förhållanden i överensstämmelse med sitt eget ändamål.»</w:t>
        <w:br/>
        <w:br/>
        <w:t>Ja, herr talman, här har nu sagts, att livaktighet börjat spåras inom kyrkan, men om man jämför med den livaktighet, som förefinnes inom frikyrkan, står denna naturligtvis icke efter. Jag ber att</w:t>
        <w:br/>
        <w:br/>
        <w:t xml:space="preserve">få säga, att min tro är den, att, om svenska statskyrkan frigjordes ifrån statens band och bleve vad den borde vara, en fri folkkyrka, som underhölles av dem, som trodde på </w:t>
      </w:r>
      <w:r>
        <w:rPr>
          <w:b/>
        </w:rPr>
        <w:t>henne²</w:t>
      </w:r>
      <w:r>
        <w:rPr>
          <w:b w:val="0"/>
        </w:rPr>
        <w:t xml:space="preserve"> och </w:t>
      </w:r>
      <w:r>
        <w:rPr>
          <w:b/>
        </w:rPr>
        <w:t>hennes²</w:t>
      </w:r>
      <w:r>
        <w:rPr>
          <w:b w:val="0"/>
        </w:rPr>
        <w:t xml:space="preserve"> läror och frivilligt fingo sluta sig till </w:t>
      </w:r>
      <w:r>
        <w:rPr>
          <w:b/>
        </w:rPr>
        <w:t>henne²</w:t>
      </w:r>
      <w:r>
        <w:rPr>
          <w:b w:val="0"/>
        </w:rPr>
        <w:t xml:space="preserve"> och underhålla </w:t>
      </w:r>
      <w:r>
        <w:rPr>
          <w:b/>
        </w:rPr>
        <w:t>henne²</w:t>
      </w:r>
      <w:r>
        <w:rPr>
          <w:b w:val="0"/>
        </w:rPr>
        <w:t>, den skulle bli, såsom jag sade år 1909, en andlig stormakt i vårt land. Jag är icke av den meningen, att kyrkan skall berövas sin egendom, om den blir en fri folkkyrka, utan jag önskar, att det åtminstone må leda därtill att kyrkan må få det den har, med ett ord: man skall giva kejsaren, det kejsaren tillhörer, och Gud, det Gud tillhörer. Jag är förvissad, att om kyrkan komme att stå på egna ben, skulle en verklig andlig livaktighet förspörjas, vartill vi icke ha sett något motstycke.</w:t>
        <w:br/>
        <w:br/>
        <w:t>Det är detta, som är motivet för min framställning, och det är icke här någon sorts allians mellan ateister för att undergräva den kristna tron och sedligheten. Kristen tro och sedlighet är något annat än att ha ett ovillkorligt monopol för en religionsform, som börjat på att bli urmodig.</w:t>
        <w:br/>
        <w:br/>
        <w:t>Jag ber med dessa inledande ord att få yrka avslag på utskottets hemställan och bifall till min motion.</w:t>
      </w:r>
    </w:p>
    <w:p>
      <w:pPr>
        <w:pStyle w:val="Heading2"/>
      </w:pPr>
      <w:r>
        <w:t>2. Jonas Dahlen (Kilbomspartiet, man)</w:t>
      </w:r>
    </w:p>
    <w:p>
      <w:r>
        <w:rPr>
          <w:b w:val="0"/>
        </w:rPr>
        <w:t>Herr talman, mina herrar! Jag har vid behandlingen i utskottet av denna fråga reserverat mig för bifall till den motion, som väckts av herr Kilbom m. fl., och skall därför be att få säga några ord.</w:t>
        <w:br/>
        <w:br/>
        <w:t>Jag vill då först säga, att jag besitter givetvis icke de kvalifikationer, som torde vara nödvändiga för en mera ingående diskussion i den föreliggande frågans detaljer, och jag skall därför endast uppehålla mig vid dess mera allmänna karaktär.</w:t>
        <w:br/>
        <w:br/>
        <w:t>Vad först beträffar utskottets motivering för avslag på de föreliggande motionerna, synes det av denna framgå, att utskottet möjligen skulle ha kommit till ett annat beslut, därest yrkandena gått ut på en förutsättningslös utredning av föreliggande spörsmål, d. v. s. om de icke endast avsett sättet för ett upphörande av sambandet mellan kyrkan och staten, utan även huruvida en sådan åtgärd överhuvud borde komma till stånd. Det förefaller, som om detta motiv icke skulle vara alltför övertygande. Ty de som komma att rösta för en utredning av frågan äro på förhand absolut säkra om att denna skilsmässa bör komma till stånd, och de som önska motsatsen redan nu, anse, att sambandet mellan staten och kyrkan bör bibehållas. En utredning, som således i första hand skall gå ut på att klarlägga detta spörsmål, om skilsmässa mellan stat och kyrka bör äga rum, skulle säkerligen icke vara ägnat att övertyga någon av kammarens ledamöter.</w:t>
        <w:br/>
        <w:br/>
        <w:t>Utskottet har också hänvisat till den motion, som år 1909 väcktes av herr Janson i Kungsör, och i vilken han yrkade på en förutsättningslös utredning av frågan. Detta är ju alldeles riktigt. Lä-</w:t>
        <w:br/>
        <w:br/>
        <w:t xml:space="preserve">ser man emellertid igenom den debatt, som här i kammaren föregick Ang. beslutet — motionen bifölls ju som bekant med 115 röster mot 98 — ,ypphävande, finner man, att detta skäl icke alls var dominerande. Det berördes mellan blott av en enda talare, nämligen biskop von Schéele. I övrigt var svenska kyrdet ingen, som talade om att den saken skulle vara avgörande. kan och staten. Den nu föreliggande motionen av herr Janson i Kungsör visar (Forts. också, hur litet avseende som fästs vid den sidan av saken, när han under hänvisning till den 1909 avgivna motionens motivering yrkar på en utredning om »på vad sätt» en särskillnad av stat och kyrka bör företagas. Det förefaller mig således, som om denna omständighet skulle ha varit en kärkommen anledning för utskottet att i detta fall få yrka avslag på de föreliggande motionerna. I den omnämnda debatten 1909 anfördes också mycket skarpa argument för eller emot ett antagande av den då föreliggande motionen. Reservanten i utskottet, herr Jakob Byström, anförde nämligen, att han ansåg, att sambandet mellan stat och kyrka kunde liknas vid ett äktenskap mellan en vit </w:t>
      </w:r>
      <w:r>
        <w:rPr>
          <w:b/>
        </w:rPr>
        <w:t>kvinna¹</w:t>
      </w:r>
      <w:r>
        <w:rPr>
          <w:b w:val="0"/>
        </w:rPr>
        <w:t xml:space="preserve"> och en neger. Det framgår icke tydligt av herr Byströms anförande, huruvida han ansåg, att det var kyrkan eller staten, som i detta fall var negern, men efter min uppfattning, och om man får döma efter färgen, ansåg han tydligen, att det var kyrkan, som var negern i äktenskapet. Utskottet framhåller vidare, att man vid bedömandet av denna fråga måste taga hänsyn till praktiska, folkpedagogiska och ekonomiska synpunkter. Det förefaller mig dock, som om herr Kilboms motion i mycket hög grad betonar just de ekonomiska synpunkterna i denna fråga, något, som utskottet också i en annan del av sin motivering mycket villigt erkänner. Denna utredning torde i alla fall vara en av de få, som begäras, som, därest den skulle komma till stånd och leda till ett resultat, skulle innebära en verklig ekonomisk besparing för staten. Jag vill i det avseendet hänvisa till den föreliggande motionens mycket utförliga motivering. Vad beträffar statskyrkans folkpedagogiska uppgifter har åtminstone jag den bestämda uppfattningen, att dess verksamhet på detta område varit mera till skada än till gagn för utvecklingen. Det torde väl i alla fall vara en alltför välkänd sak för att här behöva upprepas, att kyrkans målsmän vid alla tillfällen motarbetat den utveckling, som blivit en naturlig följd av förändrade ekonomiska betingelser. Det torde också vara obestridligt, att dessa ekonomiska betingelser, i samma mån som de förändras, även förändra människornas moraliska och religiösa uppfattningar. Det existerar sålunda enligt vårt förmenande inga eviga och oföränderliga sanningar, som under alla tider kunna vara ett rättesnöre för den mänskliga samlevnaden. Jag kan icke uttrycka denna uppfattningen bättre än genom att citera några ord av en av kammarens ledamöter, herr Arthur Engberg, som, när denna fråga sist behandlades här i kammaren, nämligen år 1918, bland annat yttrade: »Jag vill säga, att den omständigheten, att vi socialdemokrater stå antecknade som reservanter gentemot utskottets beslut, är ingen tillfälligheternas lek, utan det är snarare i full överensstämmelse och</w:t>
        <w:br/>
        <w:br/>
        <w:t>i konsekvens med den grundsyn, vi ha i samhälleliga frågor. Vi tro icke på några givna samhällsförhållandens orubbliga fortbestånd, då dessa institutioner av vad slag de vara må en gång danas på ett visst jämviktsläge klasserna emellan. När detta jämviktsläge förskjutes, så förskjutes också den grund, varpå institutionen vilar», och herr Engberg fortsätter: » Förhållandet mellan kyrka och stat intager icke någon undantagsställning i detta avseende. Vi hysa nämligen den uppfattningen, och det på goda grunder, att statskyrkosystemet vann sitt förverkligande under och tack vare en viss produktionsordning, och att denna produktionsordningens omvandling också har åstadkommit, att de betingelser, som statskyrkosystemet har i våra dagar, ingalunda äro samma betingelser, som det hade förut.»</w:t>
        <w:br/>
        <w:br/>
        <w:t>Jag har velat anföra detta yttrande av herr Engberg, därför att det fullständigt sammanfaller med min uppfattning av saken, och jag tror framför allt, att det sammanfaller med den socialistiska åskådningen i denna fråga. Huruvida denna socialistiska uppfattning även får vara avgörande i dag för kammarens socialdemokrater återstår att se. Får man döma efter den ståndpunkt eller rättare sagt de ståndpunkter, ty de gå på tre olika linjer, som detta partis representanter intagit i utskottet, kan man nästan få den uppfattningen, att förbistringen inom partiet i denna fråga skulle vara lika stor som vid byggandet av Babels torn.</w:t>
        <w:br/>
        <w:br/>
        <w:t>Det är också en annan omständighet, som på ett mycket övertygande sätt motsäger utskottets uppfattning, att statskyrkan skulle vara nödvändig för den stora massans, för folkets moraliska och religiösa uppfostran, den nämligen, att det ju för närvarande existerar flera stora kulturländer, som sakna statskyrka. Utskottet vill väl i alla fall icke påstå, att dessa länder moraliskt och kulturellt stå lägre än de stater, som för närvarande ha statskyrka. Det torde i stället vara så, att den morallära, som statskyrkan för närvarande med statens medel predikar, icke överensstämmer med den kulturella utvecklingen, och således av stora delar av vårt folk, i synnerhet bland arbetarklassen, betraktas som den största omoral.</w:t>
        <w:br/>
        <w:br/>
        <w:t>Icke heller får den omständigheten vara avgörande, som här har anförts av herr Janson i Kungsör och som säkert också kommer att ytterligare framhållas, nämligen att de frireligiösa strävandena skulle komma att stärkas i mycket hög grad, därest det skulle bli en särskillnad mellan staten och kyrkan. Jag sympatiserar visserligen icke med de strävanden, som framföras på frikyrkligt håll, men deras uppfattning synes dock vara byggd på en övertygelse, och vad som för oss är avgörande är, att de icke äro i stånd att begagna statens ekonomiska förutsättningar för att driva propaganda för en uppfattning, som stora delar av folket ogilla.</w:t>
        <w:br/>
        <w:br/>
        <w:t>Herr talman! Det torde vara en hel del talare antecknade, som ha större förutsättningar än jag att kunna gå in i en detaljdiskussion av detta spörsmål. Jag skall för min del sluta med att yrka avslag på utskottets hemställan och bifall till den av herr Kilbom m. fl.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