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1634</w:t>
      </w:r>
    </w:p>
    <w:p>
      <w:r>
        <w:rPr>
          <w:b/>
        </w:rPr>
        <w:t xml:space="preserve">Datum: </w:t>
      </w:r>
      <w:r>
        <w:t>1924-05-06</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Birger Ekeberg (–, man)</w:t>
      </w:r>
    </w:p>
    <w:p>
      <w:r>
        <w:rPr>
          <w:b w:val="0"/>
        </w:rPr>
        <w:t>Herr talman! Det må tillåtas mig att inleda debatten i detta viktiga lagstiftningsärende med ett</w:t>
        <w:br/>
        <w:br/>
        <w:t>tack till första lagutskottet för den i stort sett mycket välvilliga behandling, som ägnats Kungl. Maj:ts proposition. Förslagets ledande principer hava 1 stort sett lämnats orubbade, och särskilt är det mig en glädje att kunna konstatera, alt de grundläggande partier i lagen, som äro en frukt av skandinaviskt samarbete, och som redan äro gällande lag i Danmark, framgått ur utskottsbehandlingen praktiskt taget alldeles oförändrade.</w:t>
        <w:br/>
        <w:br/>
        <w:t>Hur betydelsefulla dessa och vissa andra avsnitt av lagen än må vara, skall jag, då meningsskiljaktigheter i dessa punkter icke yppat sig, icke nu uppehålla mig vid dem. Däremot skall jag tillåta mig hänvända kammarens uppmärksamhet till den fråga, kring vilken meningarna företrädesvis hava brutit sig, nämligen till frågan om förmyndares förvaltning av omyndigs egendom och kontrollen över denna förvaltning.</w:t>
        <w:br/>
        <w:br/>
        <w:t>Det torde utan överdrift kunna sägas, att den gällande svenska rätten erbjuder den omyndige sämre skydd mot ett oklokt eller ohederligt handhavande av hans tillgångar än någon annan kulturstat med någorlunda modern lagstiftning. Huvudfelen i gällande lagstiftningen på detta område äro två: förmyndaren har alltför stor frihet beträffande medlens handhavande, och kontrollens effektivitet är bristfällig.</w:t>
        <w:br/>
        <w:br/>
        <w:t>I förstnämnda hänseende är det till en början att märka, att en förmyndars är berättigad att ställa sig som den omyndiges gäldenär. Om förmyndaren t. ex. är affärsman, kan han lägga ned den omyndiges tillgångar i sin rörelse och låta den omyndige bliva hans fordringsägare. I sitt stora arbete om förmynderskap och kuratel berättar professor Winroth om ett fall, där en förmyndare nästan omedelbart efter förmynderskapets övertagande hade använt den omyndiges medel till att betala sina skulder, och, då han kort därefter råkade i konkurs, likväl blev fri från allt straffansvar. Även om man har vissa skäl att antaga, att domstolarna nu för tiden icke skulle visa samma släpphänthet, står det emellertid fast, att det icke är förmyndaren förbjudet att sammanblanda den omyndiges tillgångar med sina egna, med alla de risker, som därmed äro förbundna. Om förmyndaren emellertid väljer den väg, som ter sig som den naturligaste, nämligen att intaga ställning som den omyndiges syssloman, är den omyndige heller icke säker, ty förmyndaren är alldeles obunden vid detta sysslomannaskaps utförande. Han kan placera den omyndiges tillgångar hur han vill, låna ut dem till vem han vill, lägga ned dem i rena spekulationsaffärer. I själva verket kan förmyndaren genom att välja mellan dessa båda utvägar, gäldenärskap och sysslomannaskap, på ett betänkligt sätt spekulera i den omyndiges egendom. Då förmyndaren får den omyndiges medel om händer, kan han göra så, att han ger sig in i spekulationsaffärer. Gå spekulationerna bra, kan han efteråt säga: det var hela tiden min mening, att dessa spekulationer skedde för min egen räkning. Jag har lånat pengarna av den omyndige. Jag gottskriver honom endast skälig ränta. Om åter spekulationerna gå på tok, kan förmyndaren säga: dessa spekulationer gjorde jag i egenskap av syssloman. Den förlust, som uppstått, drabbar min huvudman, d. v. s. den omyndige.</w:t>
        <w:br/>
        <w:br/>
        <w:t>Och så kontrollen. Medan på allehanda andra områden av privat och offentlig verksamhet metoderna för en verksam kontroll drivits till allt större fulländning, har man på förmynderskapsrättens område blivit stående vid en övervägande formell, allenast en gång om året återkommande granskning. Utgångspunkten för denna granskning är årsräkningen, och på många håll stannar det vid en ren siffergranskning av denna. Men även om godemännen en gång om året, som det heter i lagen, »finna nödigt att taga kännedom om den omyndiges värdehandlingar», eller åtminstone kräva ett intyg att dessa värdehandlingar vid räkningens avgivande äro tillfinnandes, är det klart, att det kan ske skoj. Förmyndaren kan på ett eller annat sätt hava skaffat fram dessa handlingar just den dagen, men i själva verket finnas de icke under den övriga delen av året.</w:t>
        <w:br/>
        <w:br/>
        <w:t>Vad jag nu yttrat avser, det vill Jag betona, icke att vara något klander mot gode män för tillsyn å förmynderskap. Felet ligger icke hos gode männen, utan hos lagen med dess släpphänthet och dess brist på tilfredsställande anvisningar. Lagen pekar ju på årsräkningen och granskningen av denna såsom huvudsaken, och det är där felet ligger. Det är ett kardinalfel i gällande lagstiftning.</w:t>
        <w:br/>
        <w:br/>
        <w:t>Jag vill vidare erinra, att stärbhus” förvaltning icke är underkastad någon kontroll till den omyndiges säkerhet. Följden kan lätt bliva den, att det hela så att säga kommer av sig vid ingången. En väsentlig del av boet förvaltas bort under stärbhusutredningen, utan att det någonsin ens bliver konstaterat.</w:t>
        <w:br/>
        <w:br/>
        <w:t>Ja, nu invänder kanske en och annan av kammarens ärade ledamöter, att det här låter ju rysligt i teorien, men i praktiken är det icke så farligt. Jag vill då säga, att i den mån en dylik invändning är befogad, är detta i varje fall icke lagens förtjänst, utan det beror på förmyndarnas hederlighet. Men dess värre tror jag, att det i verkligheten står bra mycket sämre till, än vad många tro. Det är visserligen sant, att de allmänt kända, flagranta fallen, som man läser om i tidningarna, icke äro så vanliga. Men hur många förmyndare ha icke, kanske i allra största välmening. bringat sin myndling i olycka genom oförståndiga spekulationer! Och än mer: hur många fall ha icke blivit nedtystade inför världen på grund av familjehänsyn. Då olyckan en gång är skedd, vil! den omyndige icke påtala saken i förhållande till förmyndaren, som ju i regel är en nära anförvant. I det sammanhanget må det såsom en betänklig brist i gällande lagstiftning framhållas, att själva slutgranskningen av förmyndares förvaltning, vilken ju borde vara det viktigaste av det hela, verkställes av den omyndige själv. Där står han ensam mot en förmyndare, som han varit van att se upp till, och det är klart, att det icke är så lätt för honom att komma sig för att göra en anmärkning, då förmyndaren på allt sätt lägger ut saken till sin fördel.</w:t>
        <w:br/>
        <w:br/>
        <w:t>De nu framställda anmärkningarna äga som bekant icke tillämpning på förhållandena i huvudstaden. Den här alltsedan mitten av 1600-talet fungerande förmyndarkammaren har i stort sett väl fyllt sin uppgift. Länge gingo också reformsträvandena på detta område i den riktningen, att man skulle försöka efterbilda det i Stockholm rådande systemet. Man skulle inrätta förmyndarkammare i skilda delar av riket eller liksom i Danmark, en förmyndarkammare för hela landet. Numera torde man vara ense om, att detta icke Iåter sig göra. Det skulle bliva alltför dyrbart och innefatta en alltför tung och vidlyftig apparat i vårt vidsträckta land. Det förslag, som nu föreligger till kammarens prövning, bygger emellertid i mycket på erfarenheterna från Stockholm. Man har i stort sett sökt tillgodogöra sig de goda sidorna. hos förmyndarkammarsystemet, på samma gång man sökt undvika vissa därmed förenade olägenheter, framför allt en viss omgång och en viss kostsamhet.</w:t>
        <w:br/>
        <w:br/>
        <w:t>Jag vill beträffande den nu föreslagna reformen särskilt framhålla, att den praktiskt taget icke kostar statsverket ett enda öre. Den ålägger icke heller kommunerna några utgifter. Om kommunerna vilja kosta på något särskilt för att skaffa en ännu bättre vård av omyndigas tillgångar, är detta helt och hållet en frivillig sak.</w:t>
        <w:br/>
        <w:br/>
        <w:t>Jag skall nu i allra största korthet dröja något vid förslagets huvudprinciper i fråga om förvaltningen av omyndigas medel. Hithörande bestämmelser vila på följande grunder. Genom bestämmelserna om vård av omyndigs rätt i oskiftat bo sörjes till en början för att egendomen icke förvaltas bort redan vid boutredningen, och det sörjes vidare för, att man så snart som möjligt får förhållandet klarerat mellan den omyndige och eventuella andra stärbhusdelägare, vare sig i den formen, att boet förblir oskiftat, eller så att medlen få stå inne hos fadern eller modern emot skuldförbindelse, eller slutligen så, att skifte sker, varvid den omyndige får sitt för sig.</w:t>
        <w:br/>
        <w:br/>
        <w:t>Om förvaltningen skall ske särskilt av den omyndiges egendom, skola följande principer gälla. Förmyndaren skall förvalta den omyndiges egendom på samma sätt som en syssloman. Det är honom icke längre tillåtet att ställa sig som den omyndiges gäldenär. Lagen säger uttryckligen, att den omyndiges medel skola hållas skilda från förmyndarens, och lagen sörjer också för att den omyndiges medel såvitt möjligt bliva individualiserade, så att förmyndaren icke längre har den möjligheten, att, då tidpunkten för kontrollen närmar sig, för tillfället skaffa några obligationer eller andra värdepapper att visa fram till avvärjande av alla misstankar. I fråga om förvaltningens utövande är fortfarande som hittills ansvaret principiellt lagt på förmyndaren. Det är han, som skall förvalta den omyndiges egendom med den omyndiges bästa för ögonen, men efter sin egen uppfattning om vad som är till den omyndiges bästa. I två hänseenden är emellertid enligt förslaget förmyndarens rörelsefrihet begränsad. Till en början anvisar lagen vissa former, i vilka den omyndiges kontanter skola göras räntebärande. Närmare bestämmelser om hur dessa medel skola placeras, skola meddelas av Kungl. Maj:t i särskild förordning. Meningen är, att Kungl. Maj:t därvid skall anvisa prima obligationer eller prima inteckningar. Vidare kan förmyndaren — utan att bedja om någons tillstånd — placera den omyndiges medel å vissa bankräkningar. Om däremot förmyndaren vill placera medlen på annat sätt, om han vill skaffa den omyndige högre ränta eller han vill t. ex. köpa den omyndige en fastighet eller dylikt, då får han begära tillstånd av kontrollorganet, av överförmyndaren. Det är sålunda numera förmyndare icke blott förbjudet att använda den omyndiges medel till spekulationer för egen räkning. Det är honom också förbjudet att spekulera å den omyndiges vägnar såsom hans syssloman. Det är den ena väsentliga nyheten.</w:t>
        <w:br/>
        <w:br/>
        <w:t>En annan inskränkning i förmyndarens frihet ligger däri, att, då det gäller vissa viktigare rättshandlingar, han icke får vidtaga dem på egen hand, utan måste söka kontrollorganets samtycke. Det är en regel, som har anknytningspunkter i gällande rätt. Beträffande försäljning och inteckning av omyndigs fastighet kräves som bekant redan nu rättens samtycke. Denna princip har i den nya lagen utvidgats till vissa andra viktiga rättshandlingar; ibland erfordras samtycke av rätten ibland av överförmyndaren.</w:t>
        <w:br/>
        <w:br/>
        <w:t>Nära förknippade med reglerna om förvaltning av omyndigs egendom äro reglerna om kontrollen av denna förvaltning. Kontrollorganet är enligt Kungl. Maj:ts förslag överförmyndaren, som utses av rätten för varje stad och på landet för varje tingslag. Detta är, som vi veta, en omtvistad punkt, och jag skall strax komma tillbaka till densamma. Vad åter angår kontrollens utövande, är till en början att märka, att denna icke längre skall vara inskränkt till en ren sifferkontroll. Den skall framför allt avse att konstatera, att omyndigs tillgångar finnas icke bara på papperet, utan också 1 verkligheten. Härjämte ges särskilda regler beträffande sådana tillgångar. som lättast kunna tänkas fresta till obehöriga transaktioner från förmyndarens sida, nämligen kontanter och värdehandlingar till visst större värde. Värdehandlingar, vilkas sammanlagda värde överstiger 2,000 kronor, skola nedsättas i s. k. öppet förvar hos riksbanken eller annan bank. Och sedan de väl deponerats, få de icke uttagas utan överförmyndarens samtycke. I fråga om statens och allmänna hypoteksbankens obligationer kan emellertid saken ordnas på ett annat och enklare sätt, nämligen genom en anteckning i vederbörande skuldbok. Den, som vill välja denna bekväma och helt naturliga placering, slipper sålunda ifrån besväret och kostnaderna med deposition. Bevis om insättning i bank behöver icke deponeras; där har man i stället följt en annan metod, i det att räkningen — såsom man säger — skall spärras genom en anteckning, som innebär, att uttag icke får ske utan samtycke av kontrollorganet.</w:t>
        <w:br/>
        <w:br/>
        <w:t>På tal om kontrollen vill jag slutligen framhålla, att kontrollens effektivitet i hög grad kan anses skärpt genom den bestämmelsen, att sluträkningen skall granskas av överförmyndaren, innan den godkännes av den omyndige. Den omyndige har således här det understöd han behöver i förhållande till en förmyndare, som handlat ohederligt eller oförståndigt.</w:t>
        <w:br/>
        <w:br/>
        <w:t>De nu i korthet skisserade reglerna angående förvaltning och Kontroll ha kanske för en och annan, särskilt om han inskränkt sig till att studera lagtexten, vid första påseende förefallit något invecklade och tyngande. Om man emellertid gör sig mera förtrogen med förslagets tankegång och tänker sig saken sådan den kommer att te sig i praktiken, skall man, hoppas jag, ganska lätt finna, att dessa farhågor icke äro välgrundade. Jag vill i detta sammanhang framhålla en kardinalpunkt i detta förslags tankegång, nämligen den, att då ett förmynderskap begynner, förmynderskapet skall så att säga städas upp, det skall ordnas på ett förnuftigt sätt från början med den omyndiges tillgångar, och detta skall ske, innan något hunnit rinna bort. Sedan en sådan anordning träffats, sköter sig, som vi skola se, i stor utsträckning förmynderskapets förvaltning av sig själv.</w:t>
        <w:br/>
        <w:br/>
        <w:t xml:space="preserve">Riktigheten av vad jag nu har sagt skall man lätt finna bekräftad, om man tänker på de praktiskt förekommande huvudfallen. Tänk t. ex. på det fallet, att en </w:t>
      </w:r>
      <w:r>
        <w:rPr>
          <w:b/>
        </w:rPr>
        <w:t>bondhustru²</w:t>
      </w:r>
      <w:r>
        <w:rPr>
          <w:b w:val="0"/>
        </w:rPr>
        <w:t xml:space="preserve"> är död och efterlämnar make och omyndiga barn. Då erbjuder sig den möjligheten, liksom nu, att det slutes avtal om sammanlevnad i oskiftat bo. Sedan kan allting gå ungefär som förut, fadern sköter gården för gemensam räkning, blott att en viss kontroll av den samfällda förvaltningen genom det nya förslaget etableras. Eller det är en affärsman, som förlorat sin </w:t>
      </w:r>
      <w:r>
        <w:rPr>
          <w:b/>
        </w:rPr>
        <w:t>hustru²</w:t>
      </w:r>
      <w:r>
        <w:rPr>
          <w:b w:val="0"/>
        </w:rPr>
        <w:t>. Ja, då kan det med överförmyndarens samtycke ordnas så, att den omyndiges medel få stå kvar i affären mot det att det lämnas ut en skuldförbindelse, detta som sagt sedan överförmyndaren prövat, att det är en lämplig anordning. Om återigen den omyndige är ensam arvinge t. ex. till en fastighet, då blir det också som nu, såframt icke av en eller annan anledning beslut fattas, att fastigheten skall försäljas och medlen placeras på annat sätt.</w:t>
        <w:br/>
        <w:br/>
        <w:t>Man finner således, att den väsentliga nyheten föreligger i de fall, då den omyndiges tillgångar bestå i penningar eller värdehandlingar till ett värde, som överstiger den där minimigränsen. Förmyndaren har då att med iakttagande av lagens föreskrifter verkställa de placeringar eller omplaceringar, som äro påkallade i den omyndiges intresse. Om han härvidlag har förfarit med vederbörligt iakttagande av säkerhetens krav, bör emellertid sedan i stort sett någon omplacering icke bli erforderlig, och genom den deposition i öppet förvar av värdehandlingarna, som sedan skall ske, blir förmyndaren befriad från risken av eldsvåda, stöld och dylikt, och han blir fritagen från en del besvär: han behöver icke passa dagen då kuponger falla ut, det sköler depositionsanstalten om; han behöver icke följa med och se till huruvida en obligation är utlottad, det sköter också depositionsanstalten om; på ett skuldebrev, som är deponerat, lyfter depositionsanstalten räntan, och den avkastning, som utfallit, tillhandahålles förmyndaren i den ordning, som han själv bestämmer, antingen så. att den skickas till honom, eller också så, att den sättes in på en räkning, där han sedan i mån av behov kan lyfta vad som kräves för den omyndiges underhåll och förvaltningen av hans egendom. Om förmyndaren i dylikt fall behöver taga av kapitalet, måste han ha tillstånd av överförmyndaren till realisationen. Överförmyndaren skall pröva, om det verkligen föreligger något behov eller det till äventyrs kan antagas vara förmyndarens mening att använda medlen på obehörigt sätt. Men även här anvisar förslaget vissa lättnader. Jag vill särskilt framhålla det beträffande en mindre förmögenhet mycket vanliga fallet, att förmögenheten är placerad å bankräkning. Då kan överförmyndaren en gång för alla ge ett tillstånd av den innebörd, att så och</w:t>
        <w:br/>
        <w:br/>
        <w:t>så mycket pengar i kvartalet eller om året får förmyndaren uppbära å bankräkningen utan att fråga sig för 1 varje fall.</w:t>
        <w:br/>
        <w:br/>
        <w:t>Det är min övertygelse att, då förmyndarna 1 praktiken fått erfara, vad denna förvaltningsform innebär, skola de finna, att den befriar dem från bra mycket besvär och skapar en känsla av trygghet vid fullgörandet av deras ansvarsfulla uppgift. Den nya ordningen är icke heller någon skrivbordskonstruktion; den är i själva verket redan prövad. Den ansluter sig, som jag redan sagt, i många principiella stycken till vad som redan länge praktiserats här i Stockholm.</w:t>
        <w:br/>
        <w:br/>
        <w:t>Jag har från ett och annat håll mötts av den invändningen, att hela denna nya lagstiftning skulle präglas av något slags misstro mot förmyndarnas hederlighet. Jag måste säga, att jag är oförmögen att förstå en sådan invändning. Det är ju klart, att man lika litet här som eljest kan inskränka kontrollen endast till de fall, då kontroll verkligen behöves; ty de fallen kan man ju icke utsöndra på förhand. Och jag har icke heller hört talas om att den kontroll över förmögenhetsförvaltning, som eljest allmänt förekommer både i det enskilda och offentliga livet, skulle anses vara något nedsättande för den kontrollerade. Däremot har jag ofta hört framhållas såsom något oriktigt att anordna en för slapp kontroll, som kan fresta vederbörande till oegentligheter, till olycka för honom själv och också för andra.</w:t>
        <w:br/>
        <w:br/>
        <w:t>Jag övergår nu slutligen, herr talman, till att nämna några ord om de ändringar, som utskottet har föreslagit i den kungl. propositionen. Om man bläddrar igenom utskottets betänkande, så kan en och annan kanske säga sig: det var rysligt så många paragrafer, som utskottet skrivit om! Om man emellertid ser litet närmare på ändringarnas innebörd, skall man se, att en dylik reflexion icke har så starkt underlag. I fråga om en hel del paragrafer består ändringen däri, att man ändrat ett enda ord. Man har övergått till en ny terminologi, så tillvida att då Kungl. Maj:t kallar sådana personer, som på grund av sin ålder äro omyndiga, för minderåriga, har första lagutskottet ansett, att det vore bättre att kalla dem för underåriga. Denna ändring har utskottet grundat på två skäl. Dels menar man, att det skulle strida mot det allmänna föreställningssättet att här använda termen minderårig, och dels anmärker man, att termen minderårig förekommer i skilda lagar med växlande betydelse och att den därför icke skulle vara lämplig. Vad den sistnämnda invändningen beträffar, tycker jag, att den icke har så stor bärvidd, då nämligen bland de olika betydelser, vari detta uttryck förekommer i svensk lagstiftning, även förekommer den, vari ordet här blivit använt. Vad åter angår den andra invändningen, att det skulle strida mot det allmänna föreställningssättet att här använda detta ord, så är det en fråga om tycke och smak. För min del tror jag, att den här ifrågasatta betydelsen av uttrycket minderårig mycket lätt skulle tränga in i det allmänna medvetandet, och jag finner också, att det är en språkligt mera tilltalande beteckning. Jag skulle därför helst sett, att förslaget på denna punkt bibehållits oförändrat. Men det är ju klart, att en sådan här smakfråga icke är någonting så väsentligt, att det kan vara min mening att göra någon affär av den.</w:t>
        <w:br/>
        <w:br/>
        <w:t>En ändring, som jag kan ge min anslutning, återfinnes i åttonde kapitlet, femte paragrafen. Denna ändring ger ett skarpare uttryck för vad som redan är förslagets tanke, nämligen att placering av omyndigs medel skall ske med hänsyn tagen i främsta rummet till säkerhetssynpunkten. Här är jag sålunda överens med utskottet.</w:t>
        <w:br/>
        <w:br/>
        <w:t>Utav största vikt är den ändring, som företagits beträffande kontrollorganet, beträffande överförmyndaren. Som jag redan förut antytt, skall enligt Kungl. Maj:ts förslag rätten utse överförmyndare, i regel en för varje tingslag och för varje stad, där underrätt finnes. Huvudsyftet med denna anordning har</w:t>
        <w:br/>
        <w:br/>
        <w:t>varit, att man skulle få något större kontrolldistrikt på landsbygden, än man har för närvarande. Tankegången har varit den, att man därigenom skulle kunna vinna väsentligen tre fördelar: dels skulle man ha större utsikt att få verkligt kompetent folk till överförmyndare, dels skulle överförmyndaren, genom att få större antal fall att pröva sig på, få större erfarenhet, och dels slutligen skulle överförmyndaren få en självständigare ställning, särskilt då i förhållande till förmyndare i en mera framskjuten ställning. Detta har som sagt varit huvudsaken. Att man samtidigt har anförtrott valet av överförmyndare till rätten och icke som hittills till någon kommunal myndighet, det har till for del berott på svårigheterna att finna en lämplig valkorporation för tingsagen.</w:t>
        <w:br/>
        <w:br/>
        <w:t>Mot förslagets ståndpunkt i denna del ha nu framställts särskilt två anmärkningar. För det första har man sagt, att då valet förlägges till rätten, följer därmed en viss fara för byråkratisering av kontrollorganet, en fara som, menar man, skulle bli skärpt med anledning av distriktets storlek och den därmed följande anhopningen av ärenden. För min del tror jag knappast, att dessa farhågor skola besannas. Det är ju så, att de väsentligen härrört från lantmannahåll, men på landet skulle ju överförmyndarna utses av häradsrätten, och det lider intet tvivel om, att nämnden komme att tillse, att de folkliga synpunkterna komma till sin rätt. Den andra anmärkningen är, att med distriktens förstorande den personliga kontakten mellan överförmyndare och förmyndare skulle komma i fara. Häremot kan emellertid invändas, att denna personliga kontakt har två sidor. Den kan vara till fördel, men den kan också vara till nackdel, detta senare i så måtto, att den kan medföra ett försvagande av kontrollorganets självständighet.</w:t>
        <w:br/>
        <w:br/>
        <w:t>För min del skulle jag således helst ha sett, att propositionen på denna punkt hade antagits oförändrad, såsom också två reservanter yrkat. Utskottsmajoriteten och däribland samtliga lantmannarepresentanter uttala sig däremot för en kommunvis vald överförmyndare, dock med möjlighet öppen att inrätta större distrikt på rättens initiativ och med kommunens goda minne. Jag har övervägt detta utskottets förslag i samråd med lagberedningen och kommit till det resultatet, att jag icke anser mig böra vägra att gå utskottet till mötes på denna punkt. Då första lagutskottet har visat så mycken förståelse för det förevarande lagförslaget på så gott som alla andra punkter, får jag väl söka tillägna mig utskottets tankegång i denna fråga.</w:t>
        <w:br/>
        <w:br/>
        <w:t>Jag fattar för min del denna tankegång ungefär på följande sätt. När det kommer till en ny lag, som åtminstone till synes innebär en del nyheter, vilka för en eller annan förmyndare kunna bli besvärliga att komma på det klara med, då kan det vara angeläget att ha bekväm tillgång till överförmyndaren, som kan ställa allt till rätta. Jag tror mig också veta, att om denna ändring vidtages, komma de betänkligheter, som yppats mot en del andra föreskrifter i lagen, att förfalla. Man resonerar med visst fog på det sättet, att det hela kommer att fungera vida lättare och enklare, om man har överförmyndaren lätt tillgänglig. Jag vill heller icke bestrida möjligheten av att åtskilliga överförmyndare genom sin personkännedom och genom sin personliga kontakt med förmyndarna kunna ha större möjligheter att föra den nya lagen ut i livet. Och sedan detta väl har skett, torde det visa sig lättare att på den vägen, som utskottet anvisat, eller ock genom en lagändring övergå till de större distrikten, en synpunkt, vid vilken jag lägger den största vikt. Såsom ett ytterligare skäl att åtminstone tillsvidare stanna vid utskottets förslag torde kunna anföras, att med de jämförelsevis små ekonomiska förmåner, som äro förenade med sysslan, det ur rekryteringssynpunkt är av en viss vikt, att till en början något starkare betona uppdragets egenskap av förtroendeuppdrag, vilket ju sker genom att man lägger förslaget så, som utskottet har gjort.</w:t>
        <w:br/>
        <w:br/>
        <w:t>Emellertid. herr talman, huvudskälet till att jag vill gå utskottet tillmötes och att jag icke vill söka forcera fram en annan linje är ett annat. När det gäller en lag, sådan som den förevarande, är det enligt min mening ännu viktigare, att den mottages med förtroende och förståelse runt om i bygderna, än att den 1 varje detalj står på höjden av förträfflighet. Och då jag av de många motionerna i ämnet har fått det intrycket, att den folkvalda överförmyndaren för många här i kammaren är en hjärtesak, har jag inte velat taga på mitt ansvar att söka påtvinga kammaren en annan lösning.</w:t>
      </w:r>
    </w:p>
    <w:p>
      <w:pPr>
        <w:pStyle w:val="Heading2"/>
      </w:pPr>
      <w:r>
        <w:t>2. Johan Söderberg (Socialdemokraterna, man)</w:t>
      </w:r>
    </w:p>
    <w:p>
      <w:r>
        <w:rPr>
          <w:b w:val="0"/>
        </w:rPr>
        <w:t>Herr talman! När jag begär ordet redan i början av debatten om det här föreliggande förslaget, så är det därför, att till utskottets förslag är fogad en reservation av två av utskottets ledamöter. Men ingen av dessa tillhör andra kammaren utan båda medkammaren och det skulle därför kunna hända, att den tanken uppstode, att för dessa reservanters mening intet gehör fanns i denna kammare. Om jag hade varit antecknad som deltagare i utskottets behandling av ärendet, skulle jag ha befunnit mig tillsammans med dessa båda reservanter, herrar Jacob Larsson och Klefbeck.</w:t>
        <w:br/>
        <w:br/>
        <w:t>Det är ju så, att meningarna om denna lags behövlighet icke alls varit delade; tvärtom hava i stort sett alla varit ense om lagens både behövlighet och även utformning, utom på en enda punkt, och det är den, som av herr statsrådet och chefen för justitiedepartementet berörts i hans anförande. Nu befinner jag mig. när jag vågar hävda, att regeringens förslag är bättre och att det till sina verkningar skulle blivit bättre än det av utskottet utformade förslaget, jag befinner mig i den, synes det mig åtminstone, mycket underliga situationen att vara mera regeringstrogen än regeringen själv. Jag är nämligen icke säker på, att de krav, som framställts i de många motionerna och som delvis också framförts i pressen, på ändring i föreliggande tredje kapitel, äro så alldeles enhälliga. Jag vet väl, att det, både bland förmyndare och de enligt nu gällande lag utsedda granskningsgodemännen, finnes många, som mena, att regeringsförslaget är för både förmyndare, myndlingar och överförmyndare det bättre förslaget. Därtill kommer, att man med ett antagande av regeringens förslag skulle veta vad man hade, under det att med antagande av utskottets förslag i tredje kapitlet, åtminstone såvitt jag kan förstå, icke riktigt vet, hur det kan komma att bli då lagen skall tillämpas. Enligt regeringsförslaget skulle överförmyndaren utses av rätten och tingslaget vara ett överförmyndardistrikt. Häremot har rests det kravet, att man ville ha överförmyndare i varje socken enligt det system, som nu är rådande. Utskottet har liksom statsrådet fallit undan för en opinion, som man trodde fanns och vars existens icke heller jag vill förneka, en opinion, vars styrka jag dock tror, att man överdrivit. Utskottet har fallit undan och i förväg företagit en sammanjämkning mellan stridiga meningar, en sammanjämkning således mellan regeringens förslag och den där opinionen. Huruvida denna sammanjämkning varit behövlig och nödvändig, det vet man dock icke och får på detta sätt heller aldrig veta det.</w:t>
        <w:br/>
        <w:br/>
        <w:t>Nu skall ju överförmyndaren, som han kallas enligt det nya förslaget, utses av kommunen på samma sätt som hittills godemännen, men först skall rätten företaga en viss procedur, nämligen göra en slags distriktsindelning, över vilken kommunerna skola höras. Om kommunerna förklara sig vilja ingå 1 det av rätten föreslagna distriktet, så följer nästa steg: utseende av en överförmyndare. Därvid kunna kommunerna inom det föreslagna distriktet antingen utse en överförmyndare inom varje kommun eller också ena sig om en gemensam. Om det då utses flera, skall rätten bland de av kommunerna valda till slut nämna den, som skall bli överförmyndare.</w:t>
        <w:br/>
        <w:br/>
        <w:t>Nu säger utskottet: »Visserligen kan det tänkas, att kommunerna icke kunna enas, utan valet utfaller så, att olika personer väljas av de särskilda kommu-</w:t>
        <w:br/>
        <w:br/>
        <w:t>nerna. Då kommunerna frivilligt ingått i distriktet, torde det dock med största sannolikhet kunna antagas, att i regel enighet skall kunna vinnas även beträffande personvalet. För de undantagsfall, då enighet icke kan åstadkommas, erfordras emellertid en särskild regel. Utskottet har föreslagit, att för dessa fall rätten skall bland dem, som blivit valda av kommunerna i distriktet, utse den, som finnes lämpligast.»</w:t>
        <w:br/>
        <w:br/>
        <w:t>Jag vågar hålla före, att motsatsen mot vad utskottet tänkt sig, som regel kommer att inträffa. Jag tror nämligen, att det blir regel, att åtminstone till en början kommunerna icke komma att enas om en person, och för det kan jag bland annat åberopa det skälet, att det finnes icke i lagen på något sätt angivet, vem som skall taga initiativet, då det gäller att utse en person, utan det är fullständigt beroende på, huruvida bland de kommuner, som föreslagits ingå i samma distrikt, det finnes någon, som har intresse av att kommunerna eller representanter för kommunerna komma tillsammans för att ena sig om en representant. Jag skulle tro, att i de flesta fall kommer det att bli så, att kommunerna komma att var för sig välja en överförmyndare. Nu har kommunen genom den tidigare proceduren att sluta sig till det föreslagna distriktet bundit sig och får således finna sig i att taga den person, rätten utser, och så får kommunen kanske till slut ändå en överförmyndare, som den icke vill ha. Detta kan mycket lätt föranleda till att nästa gång överförmyndare skall utses, kommunen kommer att separera från distriktet, och då kommer man kanske småningom tillbaka till den ordning, som, såvitt jag kan förstå, ingen vill ha, nämligen en överförmyndare i varje liten socken. Herr statsrådet har också påpekat, att det även ur kontrollsynpunkt kan ha sina olägenheter med dessa små distrikt.</w:t>
        <w:br/>
        <w:br/>
        <w:t>Jag har tillåtit mig i utskottet att anföra ett exempel, som visserligen kan anses konstruerat, men som dock icke är otänkbart. — Det är icke ovanligt, att i en kommun med stora lantegendomar den på ett gods anställda förvaltaren är en mycket intresserad kommunalman och mycket betrodd i sådant avseende. Nu ha alla varit eniga om, tror jag, att överförmyndaren skall tagas bland dem, som ha kommunala förtroendeuppdrag, och att man alltså bör välja en person, vilken åtnjuter ett stort och allmänt förtroende. Det är då icke otänkbart, att en sådan förvaltare utses till överförmyndare inom en eller flera socknar. Det låter vidare tänka sig, att hans husbonde, den store godsägaren, blir förmyndare. Då tror jag ändå det blir en beklaglig ställning för denne överförmyndare, om han skall hava tillsyn över sin arbetsgivare. Sådant kan tänkas komma att inträffa.</w:t>
        <w:br/>
        <w:br/>
        <w:t>Det är dock så, att det måste vara till fördel för den, som skall utöva kontrollen, att han icke är på något som helst sätt beroende av dem, som skola kontrolleras. Det har mot denna punkt i regeringsförslaget gjorts en del invändningar, och dessa ha ansetts avgörande för att man icke kunde gå den väg Kungl. Maj:t förslagit. En invändning har varit, att man fruktade ett nytt tjänstemannavälde. Utskottet har i sin motivering sagt, att detta är överdrivna farhågor, och att det naturligtvis aldrig kan bli fråga om tillskapande av nya tjänstemän. Det är icke tal om, att vederbörande befattningar i något som helst fall skulle bli helt avlönade, utan de skola endast vara bisysslor, menar utskottet. Men nog kan det tänkas, att de, som gjort invändningar här, hava rätt på den punkten, där de sagt, att staten kommer förr eller senare att få träda till och lämna bidrag till dessa överförmyndare. Lagberedningen hade också i sitt förslag räknat med den möjligheten, men regeringen var sangvinisk nog att icke räkna med en sådan möjlighet. Jag tror det varit bättre att från början inrikta sig på den eventualiteten. Det skulle ju icke, såvitt man kan döma av lagberedningens förslag, bli fråga om statsbidrag till några svindlande belopp. Den nu av utskottet godtagna anordningen kan i stället medföra, att kommunerna få gå in för att lämna bidrag till ifrågavarande ändamål, och utskottet har öppnat</w:t>
        <w:br/>
        <w:br/>
        <w:t>möjlighet härför genom att i en paragraf medgiva kommunerna att, om så anses behövligt och lämpligt, lämna bidrag till överförmyndarna.</w:t>
        <w:br/>
        <w:br/>
        <w:t>Jag har förvånat mig över, att detta stadgande inom utskottet vunnit så enhällig anslutning även bland dem, som annars 1 alla tider motsatt sig att det på något som helst sätt lämnades gottgörelse för de kommunala förtroendeuppdragen. Och då har det ändå varit fråga om uppdrag i kommunens tjänst. Här gäller det visserligen ett kommunalt förtroendeuppdrag, men ett uppdrag, där det avses att taga hand om enskildas affärer.</w:t>
        <w:br/>
        <w:br/>
        <w:t>Nu skall det kanske göras den invändningen, att denna ersättningsfråga icke behöver förekomma, ty det är bara att i så fall minska distrikten, och så bibehåller uppdraget karaktären av kommunalt förtroendeuppdrag, där vederbörande innehavare får nöja sig med den ersättning, som kan förekomma enligt de andra bestämmelserna. Det är möjligt, och jag tror det vore lyckligt, om det verkligen bleve så, men alldeles säkert är det inte, och genom att öppna en möjlighet av antydd art, har det också givit så mycket på hand, att krav i sådan riktning kunna komma att framställas.</w:t>
        <w:br/>
        <w:br/>
        <w:t>Vidare har utskottet bibehållit proposititonens krav på att överförmyndaren skall handla under tjänstemannaansvar. Det finnes visserligen en reservation på den punkten, men det är väl icke så säkert, att kamrarna äro villiga att gå reservanten till mötes. Nog tycker jag för min del, att det är betänkligt att på en kommunalstämma eller av kommunalfullmäktige skola utses personer för att handhava vissa uppdrag enligt en åtminstone i vissa fall nog så svårtillämpad lag, och så stadga, att dessa personer skola handhava dessa uppdrag under tjänstemannaansvar.</w:t>
        <w:br/>
        <w:br/>
        <w:t>Nu förstår jag väl, att det är tämligen lönlöst att i kammaren försöka få igenom regeringsförslaget på den här punkten, och det är, som jag sade från början, närmast för att giva uttryck åt den uppfattningen, att det även i andra kammaren finnas ledamöter, som mena, att regeringsförslaget är bättre än utskottsförslaget i det omstridda tredje kapitlet, som jag har tillåtit mig att yttra dessa ord.</w:t>
        <w:br/>
        <w:br/>
        <w:t>Innan jag slutar, skall jag emellertid också nämna ett par ord om en annan reservation, ehuru jag förmodar, att den ledamot, som reserverat sig, själv kommer att taga upp spörsmålet. Jag syftar på herr Leos reservation vid första kapitlets andra paragraf, där han sätter i fråga en utvidgad rätt för samhället att få personer satta under förmyndare. Jag tillåter mig bara säga, att jag helt och fullt ger min anslutning till denna reservantens uppfattning. Jag vågar hålla före, att den tanken nog småningom kommer att slå igenom, och det är möjligt, att den tid icke är så avlägsen, då riksdagen på nytt får pröva detta ärende.</w:t>
        <w:br/>
        <w:br/>
        <w:t>På den nu föredragna 8 1 i första kapitlet har jag, herr talman, intet annat yrkande än om bifall till utskottets förslag.</w:t>
      </w:r>
    </w:p>
    <w:p>
      <w:pPr>
        <w:pStyle w:val="Heading2"/>
      </w:pPr>
      <w:r>
        <w:t>3. Anders Paulsen (Socialdemokraterna, man)</w:t>
      </w:r>
    </w:p>
    <w:p>
      <w:r>
        <w:rPr>
          <w:b w:val="0"/>
        </w:rPr>
        <w:t>Herr talman! Då jag sedan många år dels såsom granskningsgodeman och dels såsom förmyndare haft att syssla med dessa saker, skall jag be att få säga några ord.</w:t>
        <w:br/>
        <w:br/>
        <w:t>Jag vill då först uttala min stora tillfredsställelse över att det kommit fram ett sådant lagförslag som detta. Det har varit en oerhörd brist på bestämmelser på detta område, och de granskningsgodemän, som verkligen ha velat göra någon nytta, ha själva måst skapa nya bestämmelser vid sidan av lagen.</w:t>
        <w:br/>
        <w:br/>
        <w:t>En nyhet i det här förslaget är skyldigheten för vederbörande förmyndare att insätta myndlingens tillgodohavanden i bank, och detta synes mig vara ett synnerligen gott förslag. Hittills har det ju varit så att en förmyndare haft fullkomlig frihet att handhava förmyndarmedlen. Har han velat sätta in dessa medel i sin egen affär eller rörelse, så har det stått honom fullständigt fritt.</w:t>
        <w:br/>
        <w:br/>
        <w:t xml:space="preserve">Om sedan affären eller rörelsen gjort en kullerbytta och förmögenheten strukit med, så har ingen kunnat göra förmyndaren någonting för den saken. Genom denna förordning blir saken betydligt bättre, ty nu finnas garantier för att den omyndiges medel verkligen finnas kvar den dag, då han blir myndig. Så långt är jag fullt ense med utskottet. Däremot är jag, när det gäller kontrollmyndigheten icke tillfredsställd med det resultat, vartill utskottet har kommit. Enligt min mening var Kungl. Maj:ts förslag vida bättre. För närvarande är det ju så att varje kommun väljer en eller flera granskningsgodemän eller tillsyningsmän över förmyndarna. Dessa ha till uppgift att granska förmyndarnas redovisning och lämna meddelande härom till domhavanden i orten. Enligt Kungl. Maj:ts förslag få överförmyndarna en helt annan befogenhet och det förslag, som Kungl. Maj:t framlagt, är mycket bättre. Man säger att: »Till överförmyndare skall förordnas en i praktiska värv väl förfaren svensk man eller </w:t>
      </w:r>
      <w:r>
        <w:rPr>
          <w:b/>
        </w:rPr>
        <w:t>kvinna¹</w:t>
      </w:r>
      <w:r>
        <w:rPr>
          <w:b w:val="0"/>
        </w:rPr>
        <w:t>, som uppnått tjugufem års ålder. Överförmyndare 1 stad, där rådstuvurätt finnes, skall hava sitt hemvist i staden. Å landet samt i stad, där rådstuvurätt ej finnes, skall överförmyndaren hava sitt hemvist inom det område, för vilket han förordnas, eller i stad, som gränsar därintill; har någon blivit förordnad till överförmyndare för två eller flera tingslag, skall han hava sitt hemvist inom ett av tingslagen eller i stad, som gränsar till något av dem. Undantag ifrån vad om. överförmyndarens hemvist är stadgat må medgivas av rätten, om skäl därtill äro.&gt; Det har alltid inom kommunerna varit svårt att få rätt man till granskningsgodeman. Det har icke varit svårt att få någon som varit lämplig för att granska själva handlingarna, men det har varit mycket svårt att få någon, som har varit tillräckligt viljestark att kontrollera förmyndarnas göranden och låtanden med avseende å myndlingarnas medel. Med ett bifall till Kungl. Maj:ts förslag hade man kommit ifrån de svårigheter, som föreligga härutinnan. Såsom utskottet här har kompromissat ihop saken, skulle Jag tro, att förhållandena komma att bli ungefär som förut. Det har i alla tider varit möjligt för kommunerna att välja granskningsgodemän utanför sin socken. Jag har emellertid aldrig hittills sett att man, om man har haft aldrig så stor brist på lämpliga kandidater för uppdraget i fråga, valt en granskningsgodeman från en grannkommun, som måhända haft lämplig person för uppdraget. Så kommer det också att bli även i fortsättningen, såsom utskottets förslag här är formulerat. Även om ingen annan i den punkten kommer att framställa bifall till Kungl. Maj:ts förslag, kommer jag att göra det.</w:t>
        <w:br/>
        <w:br/>
        <w:t>Beträffande en paragraf, som kommer något längre fram, har väckts en motion av herr Petrén i första kammaren. Motionen går ut på att överförmyndarna skola höras innan förmyndare förordnas för person, som skall intagas på sinnessjukanstalt. Utskottet har icke velat gå med på den motionen utan säger: »En föreskrift om obligatoriskt inhämtande av yttrande från överförmyndaren skulle knappast vara till gagn, då det icke kan förväntas, att överförmyndaren vid den tidpunkt, varom nu är fråga, och med hänsyn till den skyndsamma behandling ärendet kräver, förmår förskaffa sig bättre kännedom än rätten om vederbörandes personliga förhållanden.&gt; På grund härav avstyrker utskottet den ifrågavarande motionen. Nu vill jag för min del säga, att jag icke tror, att utskottets ledamöter haft reda på vad det i det fallet egentligen har rört sig om. De tala om, att överförmyndaren icke skulle hinna förskaffa sig bättre kännedom än rätten om vederbörandes personliga förhållanden. Det förefaller, som om utskottets ledamöter skulle hava den uppfattningen, att allting härvidlag skulle gå i en förskräcklig hast. Så förhåller det sig emellertid icke. När en sinnessjuk intages på anstalt, har direktören för sinnessjukanstalten skyldighet att meddela domhavanden detta, och därefter utses vid häradsrätten en förmyndare för den sinnessjuke. Men detta sker icke i en sådan hast, som utskottets ledamöter föreställa sig. Det sker icke så, att man, i och med att en person inta-</w:t>
        <w:br/>
        <w:br/>
        <w:t>ges på anstalten, genast lämnar meddelande därom till rätten. Först vilja nämligen läkarna på hospitalet konstatera, att icke sjukdomen i fråga kan gå över tämligen snart. Först sedan personen varit under observation under någon tid lämnas ett sådant meddelande. Jag kan upplysa om, att det i regel dröjer två å tre månader innan saken är så klar, att man kan lämna meddelande från hospitalet till häradsrätten, och då vänder sig domhavanden åtminstone tillgår det så i den domsaga jag tillhör — till granskningsgodeminnen, som då avgiva förslag till förmyndare. Så går det till i en välordnad domsaga och ett sådant tillvägagångssätt borde lagfästas, och när vi komma till den punkten skall jag, herr talman, be att få yrka bifall till herr Petréns motion.</w:t>
      </w:r>
    </w:p>
    <w:p>
      <w:pPr>
        <w:pStyle w:val="Heading2"/>
      </w:pPr>
      <w:r>
        <w:t>4. Jakob Pettersson (Liberala riksdagspartiet, man)</w:t>
      </w:r>
    </w:p>
    <w:p>
      <w:r>
        <w:rPr>
          <w:b w:val="0"/>
        </w:rPr>
        <w:t>Herr talman! Jag skall be att få yttra några ord med anledning av de anmärkningar, som hittills framställts mot det föreliggande förslaget.</w:t>
        <w:br/>
        <w:br/>
        <w:t>Först vill jag då yttra mig om den anmärkning, som framställts av herr Söderberg. Han har anslutit sig till en av herr Leo avgiven reservation, vari det yrkas, att det allmänna skulle beredas större inflytande och få större möjlighet att få en person förklarad omyndig. Herr Leo grundar detta yrkande därpå, att han anser, att man i vår tid borde ha nått »till ett mera socialt betraktande av de på privata händer befintliga förmögenheterna såsom i grund och botten delar av nationens samlade tillgångar, vilka icke självrådigt få utsättas för uppenbar vanvård eller förstörelse». Herr Leo anser alltså, att ett mera socialt betraktande på denna fråga vore på sin plats. Jag vill för min del instämma i denna hans mening, men däremot kan jag icke biträda hans åsikt, att det i följd därav vore lämpligt att på förmynderskapslagstiftningens område tillerkänna det allmännas representanter någon större makt att få personer förklarade omyndiga. Den lagstiftning, som det här är fråga om, är nämligen påkallad av hänsyn till behovet av skydd för de omyndigas egendom och ekonomiska angelägenheter och är alltså att hänföra till privaträtten. Den i och för sig riktiga tanke, som ligger till grund för herr Leos yrkande, bör enligt min mening tillgodoses inom andra grenar av lagstiftningen. På grund härav kan jag icke i fråga om detta lagförslag biträda herr Leos yrkande.</w:t>
        <w:br/>
        <w:br/>
        <w:t>Herr statsrådet och chefen för justitiedepartementet har i sitt anförande välvilligt upptagit de ändringsförslag, som utskottet har tillåtit sig framställa i fråga om Kungl. Maj:ts förslag. Jag vill för min del helt och fullt vitsorda herr statsrådets uppfattning, att utskottet åtminstone icke haft för avsikt eller trott, att det genom sina ändringsförslag vidtoge några större eller mer genomgripande ändringar i Kungl. Maj:ts förslag.</w:t>
        <w:br/>
        <w:br/>
        <w:t xml:space="preserve">Herr statsrådet uppehöll sig något litet vid utskottets kanske klåfingriga ändring av uttrycket »minderårig» till »underårig». Han använde visserligen icke ett så oartigt uttryck, men man fick dock av hans anförande det intrycket, att han ansåg utskottets ändring vara tämligen opåkallad. Nu vill jag erkänna, att det i viss mån är en smaksak, huruvida man skall föredraga uttrycket underårig eller uttrycket minderårig. Men jag vill gent emot herr statsrådet hemställa, om jag inte har rätt däri, att det ligger något för uppfattningen stötande i att man t. ex. säger, att man låter »minderårig» undergå beväringsexercis eller tillåter »minderårig» </w:t>
      </w:r>
      <w:r>
        <w:rPr>
          <w:b/>
        </w:rPr>
        <w:t>kvinna¹</w:t>
      </w:r>
      <w:r>
        <w:rPr>
          <w:b w:val="0"/>
        </w:rPr>
        <w:t xml:space="preserve"> att ingå äktenskap o. s. v. Det kan heller icke förnekas, att det i lagstiftningen skapas oreda, om man i olika lagar använder samma uttryck i olika betydelse. Dessa sakskäl synas mig också rätt mycket tala för den ändring, som utskottet tillåtit sig göra i anslutning till ett yttrande av en av lagrådets ledamöter.</w:t>
        <w:br/>
        <w:br/>
        <w:t>Vad sedan beträffar frågan om kontroll över förmyndarnas medelförvaltning har ju lagberedningen, liksom också departementschefen utgått ifrån den meningen, att det är önskvärt, att uppdraget att övervaka förmyndarnas förvaltning icke handhaves såsom en tjänst utan såsom ett offentligt uppdrag vid sidan av</w:t>
        <w:br/>
        <w:br/>
        <w:t>vederbörandes borgerliga näring. Utskottet ansluter sig också till den ståndpunkten. När det gäller frågan om, hur stora distrikten för utövandet av denna förmyndarekontroll skola vara, påpekade lagberedningen de stora svårigheter, som föreligga, då ju våra kommuner äro så olika stora. Det är cen vansklighet, som tyvärr ofta är för handen, när man skall stifta lag i detta land, att förhållandena i olika delar av landet äro så olika; särskilt är det besvärligt, att kommunerna äro så olika stora. Lagberedningen framhåller härvidlag, att man å ena sidan bör se till att kontrolldistrikten icke bli för stora. Bliva de för stora, utsätter man sig nämligen för risken, att överförmyndarna bliva ett slags tjänstemän, och det är ju en sak, som man vill undvika. Å andra sidan säger lagberedningen att de små landskommunerna äro för små för att utgöra kontrolldistrikt. Först och främst kan man i en liten landskommun icke få det urval av lämpliga personer för befattningarna i fråga, som är erforderligt. Vidare kan det icke förväntas, att arbetet inom dessa distrikt blir tillräckligt omfattande, för att vederbörande skola kunna få den erfarenhet och den rutin, som är nödvändig. I följd härav kan ej heller förväntas, att de komma att utveckla det nit för sin uppgift, som är önskvärt. Och slutligen riskerar man, att förmyndarna i dessa små landskommuner icke helt kunna frigöra sig från en del kommunalpolitiska hänsyn, något som ju bör undvikas. Jag tror, att detta lagberedningens omdöme är allleles riktigt, naturligtvis med den av lagberedningen själv givna begränsningen, nämligen att det avser de små landskommunerna. Således tror jag, att man kan konstatera, att såväl lagberedningen och departementschefen som utskottet utgått från samma utgångspunkt. Men från denna gemensamma utgångspunkt komma dock å ena sidan lagberedningen och departementschefen och å andra sidan utskottet till olika anordningar. Lagberedningen föreslår, att varje stad och på landet varje tingslag skall utgöra ett kontrolldistrikt med möjlighet att tillsätta flera överförmyndare, om distriktet skulle bli för stort. Utskottet åter anser, att man bör utgå från kommunen såsom det egentliga kontrolldistriktet med möjlighet att sammanslå alltför små kommuner till större distrikt. I det avseendet föreslår utskottet, att häradsrätten skall vara skyldig att taga initiativ till en sådan sammanslagning, och att häradsrätten i allmänhet bör vaka över att små kommuner sammanslås till lämpliga distrikt. Jag vill framhålla, att utskottet lägger synnerlig vikt vid detta moment i förslaget. Utskottet hoppas, att denna utväg skall visa sig ägnad att förhindra tillkomsten eller bibehållandet av alltför små distrikt. Å andra sidan har utskottet icke kunnat undgå att finna, att vissa olägenhenheter kunna bli förbundna med de stora tingslagen såsom överförmyndardistrikt. Såsom statsrådet också berörde, anses det önskvärt att en överförmyndare förskaffar sig en rent personlig kännedom såväl om le förmyndare, som han är satt till att övervaka, som också om de myndlingar, vilkas intressen han skall tillgodose. Det är uppenbart, att denna personliga kännedom lättare kan vinnas, om han är bosatt i samma socken, som vederbörande, än om han bor i andra ändan av ett stort tingslag. Utskottet har även tagit hänsyn till, att en massa nya skyldigheter komma att genom denna nya lag läggas på förmyndarna, särskilt åläggandet att i flera fall hänvända sig till överförmyndaren för att inhämta hans samtycke till den ena eller andra åtgärden. Det är önskvärt, att denna skyldighet inte blir allt för betungande, utan att möjlighet beredes förmyndarna att lätt komma i förbindelse med överförmyndaren. Såsom herr statsrådet även har anfört, är det antagligt, att man gör den nya lagen mindre osympatisk, mindre motbjudande för allmänheten, om man från hörjan ställer det så, att dessa nya skyldigheter icke komma att kännas för besvärande.</w:t>
        <w:br/>
        <w:br/>
        <w:t>I samband med den personliga kontakten mellan överförmyndaren och förmyndaren bör man också komma ihåg, att det ej sällan inträffar, att en förmyn-</w:t>
        <w:br/>
        <w:br/>
        <w:t>dare vill rådgöra med sin överförmyndare om ett eller annat ärende. Det lär för närvarande icke vara sällsynt, att en förmyndare får hjälp av sim överförmyndare, när det gäller uppsättandet av årsräkningarna. Även hänsyn till dessa omständigheter tala för att icke överförmyndardistrikten göras alltför stora.</w:t>
        <w:br/>
        <w:br/>
        <w:t>Härtill kommer slutligen den omständigheten, att arbetet i mycket stora överförmyndardistrikt givetvis skulle bli för överförmyndarna mera omfattande än i ett mindre distrikt. Det är visserligen alldeles riktigt, att man genom denna större arbetskvantitet vinner, att överförmyndaren får mera erfarenhet och rutin och således snart blir mera skickad för sitt värv. A andra sidan lurar emellertid här en fara. Denna består däri, att överförmyndarinstitutet kan byråkratiseras. Det kan alltför lätt hända, att arbetet på överförmyndarens expedition växer så, att han måste skaffa sig särskild kanslipersonal, och jag är alldeles övertygad om, att herr statsrådet med tillkomsten av dessa mycket stora överförmyndardistrikt icke i längden skulle kunna vidhålla sin utfästelse, att den nya lagen icke behöver medföra några kostnader för statsverket. Enligt utskottets förmenande skulle man genom att fastslå tingslaget som överförmyndardistrikt icke kunna förhindra, att det mycket snart komme att framställas befogade anspråk på avsevärda bidrag av statsmedel till avlönandet av överförmyndarna.</w:t>
        <w:br/>
        <w:br/>
        <w:t>De hänsyn, jag nu nämnt, hava varit bestämmande för utskottet, när utskottet föreslagit den nyss antydda anordningen. Jag vill dock villigt erkänna, att denna anordning kan komma att medföra vissa svårigheter, särskilt om icke den i förslaget givna anvisningen på sammanslagningen av mycket små kommuner kommer till användning, något som vore att beklaga.</w:t>
        <w:br/>
        <w:br/>
        <w:t>T ett av de anföranden, som här har hållits, jag tror det var det anförande, som hölls av herr Söderberg, uttalades, att man kunde befara, att överförmyndarna icke skulle komma att få den erforderliga fastheten gentemot de kommunala förtroendemännen, i händelse distrikten komme att utgöras av kommunerna och i händelse överförmyndarna komme att utses av de kommunala myndigheterna. Utskottet har ansett, att om man stannar vid kommunerna såsom det lämpligaste överförmyndardistriktet, ligger det också närmast till hands att låta kommunernas representantiva myndigheter utse överförmyndare. Det förefaller, som om den kommunala representationen bättre än häradsrätten bör vara i stånd att utpeka den lämpligaste mannen för utövandet av detta offentliga uppdrag. Härigenom vinner man ju också att befolkningen från början bör få större förtroende för den nya anordningen. Naturligtvis kan det icke förnekas, att den möjligheten föreligger, att de av kommunerna valda överförmyndarna på ett eller annat sätt icke visa sig äga nog stark ryggrad gentemot obehöriga hänsyn. Men detta beror 1 sista hand icke på den myndighet, som väljer överförmyndarna i fråga utan på den person, som blir vald. Det är ju ytterst på personligheten själv det ankommer, om han kan växa i höjd med sin uppgift.</w:t>
        <w:br/>
        <w:br/>
        <w:t>IT övrigt förekommer i förslaget en del bestämmelser, som äro särskilt ägnade att motverka de frestelser till undfallenhet för kommunalpolitiska hänsyn, som Jag här har talat om. Jag vill i det hänseendet peka på, att det icke, som hittills, skall vara två personer i varje distrikt, som dela ansvaret. Någon ansvarsdivision på det här området får icke förekomma. TI regel skall det endast finnas en överförmyndare i varje distrikt, som svarar för uppgifternas fullgörande. Vidare ha vi den viktiga bestämmelsen om, att överförmyndaren skall handla under tjänstemannaansvar. I båda dessa avseenden har utskottet icke frångått Kungl. Maj:ts förslag utan helt anslutit sig till detsamma, och jag tror, att det redan i dessa båda bestämmelser ligger en ganska god garanti gentemot den befarade obehöriga undfallenheten.</w:t>
        <w:br/>
        <w:br/>
        <w:t>Utskottets förslag är föranlett av en del motioner, som äro väckta i kam-</w:t>
        <w:br/>
        <w:br/>
        <w:t>rarna. Närmast ansluter sig förslaget till en av herr Jonsson i Mörkhult väckt motion. Jag tror, att man med tanke på samtliga motioner i det sammanhanget kan säga, att utskottets förslag betecknar en medelväg mellan å ena sidan Kungl. Maj:ts proposition och å andra sidan de motioner, som äro avgivna av herrar Gardell m. fl., Nilsson i Gränebo m. fl., och Andersson i Rasjön och Andersson i Kroken.</w:t>
        <w:br/>
        <w:br/>
        <w:t>För närvarande skall jag, herr talman, endast be att få yrka bifall till den föredragna första paragrafen.</w:t>
      </w:r>
    </w:p>
    <w:p>
      <w:pPr>
        <w:pStyle w:val="Heading2"/>
      </w:pPr>
      <w:r>
        <w:t>5. Henning Leo (Socialdemokraterna, man)</w:t>
      </w:r>
    </w:p>
    <w:p>
      <w:r>
        <w:rPr>
          <w:b w:val="0"/>
        </w:rPr>
        <w:t>Herr talman! Vid utskottets utlåtande vid denna paragraf har jag fogat ett särskilt yttrande. Tyvärr har jag icke kunnat komma längre, ty mina synpunkter i fråga om grunderna för sättande i omyndighetstillstånd hava icke vunnit understöd av utskottets majoritet, och då ingen motion i frågan föreligger, har jag varit avskuren från möjligheten att på denna punkt få en reservation ställd under proposition i kamrarna.</w:t>
        <w:br/>
        <w:br/>
        <w:t>Jag har emellertid icke ansett mig kunna och icke heller velat underlåta att även på sätt nu sker framföra min uppfattning i denna fråga, som jag anser vara av stor betydelse.</w:t>
        <w:br/>
        <w:br/>
        <w:t>I det förslag, som här föreligger, har man när det gällt grunderna för sättande i omyndighetstillstånd, helt naturligt i första hand tänkt på de intressen vederbörande själv, hans familj och hans närmaste kunna ha av frågan. Åt samhällets synpunkter och samhällets intresse av att en persons medel och tillgångar bliva omhänderhavda på ett icke alltför oförnuftigt sätt har man emellertid härvidlag endast velat giva utrymme så till vida, att man velat giva samhället möjlighet att skydda sig gentemot eventualiteten av att en person till följd av sitt ekonomiskt oförnuftiga leverne faller fattigvården till last. Jag har emellertid ansett, att detta är en alltför snäv begränsning av samhällets möjligheter att inskrida mot klara och uppenbara fall av vanvård och av slöseri med s. k. enskild egendom. Redan i gällande rätt har det alltid ansetts finnas en liten möjlighet för det allmänna, representerat av rätten, att ex officio på eget initiativ gripa in med åtgärder för en persons försättande i omyndighetstillständ. Till och med denna lilla möjlighet, som sålunda funnits i gällande rätt, har man emellertid skurit bort i det föreliggande förslaget. Nu har visserligen från ordföranden i första lagutskottet uttalats sympatier för den tankegång, som jag framfört; men säger han, man skall tillgodose dessa intressen, i den mån de äro berättigade, inom andra grenar av lagstiftningen. Jag undrar egentligen, vilka anvisningar första lagutskottets ordförande skulle vilja giva på en lagstiftning, som tillgodosåge mina synpunkter. Det är ju här icke bara fråga om att man skall gripa in, då det föreligger exempelvis vanvård och vanhävd av fast egendom; utan jag avser överhuvud taget, att man skall kunna gripa in för att förhindra vanvård och uppenbart slöseri i fråga om enskildas tillgångar.</w:t>
        <w:br/>
        <w:br/>
        <w:t>Jag kan mycket väl förstå, att den synpunkt, som jag anlägger på den föreliggande frågan, från juristhåll anses icke möjlig att realisera. Antagligen betraktar man den också på samma håll såsom oriktig. Emellertid vågar jag påstå, att min uppfattning är en allmänt folklig rättsuppfattning, som sedan länge om fattats inom stora lager av vårt folk. Det är icke allt för sällan, som man just ibland folket hör ett resonemang, däruti man pekar på sådana här klara fall av mera eller mindre vanvettigt handhavande av enskild förmögenhet och däri man uttrycker sin förvåning över att det icke är möjligt att med lagens hjälp gripa in och ställa en sådan person under förmyndare.</w:t>
        <w:br/>
        <w:br/>
        <w:t>Jag skall nu emellertid icke längre uppehålla mig vid frågan denna gång, då det icke är möjligt att göra ett yrkande. Jag skall endast uttala en förhoppning om att denna fråga skall komma upp igen; och jag är övertygad om att man icke kan undgå att även inom förmynderskapsrätten söka lösa denna fråga på ett för samhället mera fördelaktigt sätt. Klart är, att därvidlag måste tagas hänsyn till flera synpunkter i detta sammanhang; och jag förutsätter bland annat, att man, om man en gång allvarligt går till verket, att i lagstiftningen tillgodose den av mig framförda uppfattningen därvid också kommer att få överväga, huruvida man icke bör införa en mildare påföljd i rättsligt hänseende för en person, som på detta sätt blir försatt i omyndighetstillståna. Jag har, herr talman, intet yrkande att göra.</w:t>
        <w:br/>
        <w:br/>
        <w:t>Går föräldrarnas äktenskap åter, eller vinna de hemskillnad eller äktenskapsskillnad, vare den barnets förmyndare, som skall hava vårdnaden om det. Varder eljest förordnat, att vårdnaden skall tillkomma allenast den ene av föräld-</w:t>
      </w:r>
    </w:p>
    <w:p>
      <w:pPr>
        <w:pStyle w:val="Heading2"/>
      </w:pPr>
      <w:r>
        <w:t>6. Elisabeth Tamm (–, woman)</w:t>
      </w:r>
    </w:p>
    <w:p>
      <w:r>
        <w:rPr>
          <w:b w:val="0"/>
        </w:rPr>
        <w:t xml:space="preserve">Herr talman, ärade kammarledamöter! I 1920 års lag om barn i äktenskap och i den nya giftermålsbalken har principiell likställighet mellan föräldrar, fader och </w:t>
      </w:r>
      <w:r>
        <w:rPr>
          <w:b/>
        </w:rPr>
        <w:t>moder²</w:t>
      </w:r>
      <w:r>
        <w:rPr>
          <w:b w:val="0"/>
        </w:rPr>
        <w:t xml:space="preserve">, samt mellan makar, man och </w:t>
      </w:r>
      <w:r>
        <w:rPr>
          <w:b/>
        </w:rPr>
        <w:t>hustru²</w:t>
      </w:r>
      <w:r>
        <w:rPr>
          <w:b w:val="0"/>
        </w:rPr>
        <w:t xml:space="preserve">, blivit lagfästad. Det riktiga och rättmätiga i denna princip är således redan av statsmakterna erkänt. Man kan därför icke undgå att förvåna sig över att i Kungl. Maj:ts proposition med förslag till lag om förmynderskap, andra kapitlet 1 $, ävensom i första lagutskottets utlåtande i förevarande fråga, denna princip icke blivit fullt genomförd. Det heter där. »För underårigt barn i äktenskap vare fadern förmyndare.» Dör fadern, eller kan han enligt fjärde paragrafen (d. v. s. om han själv blir omyndig) icke vara förmyndare, eller varder han entledigad från förmynderskapet, vare modern barnets förmyndare. I samma kapitels andra paragraf stadgas, att för underårigt barn utom äktenskap modern skall vara förmyndare, därest icke vårdnaden om barnet tillagts fadern. I övrigt stadgas i lagen, att om förmyndare skall förordnas, så kan därtill utses vare sig man eller </w:t>
      </w:r>
      <w:r>
        <w:rPr>
          <w:b/>
        </w:rPr>
        <w:t>kvinna¹</w:t>
      </w:r>
      <w:r>
        <w:rPr>
          <w:b w:val="0"/>
        </w:rPr>
        <w:t xml:space="preserve">. Därmed har man visserligen sagt, att </w:t>
      </w:r>
      <w:r>
        <w:rPr>
          <w:b/>
        </w:rPr>
        <w:t>moder²</w:t>
      </w:r>
      <w:r>
        <w:rPr>
          <w:b w:val="0"/>
        </w:rPr>
        <w:t xml:space="preserve">, eller </w:t>
      </w:r>
      <w:r>
        <w:rPr>
          <w:b/>
        </w:rPr>
        <w:t>kvinna¹</w:t>
      </w:r>
      <w:r>
        <w:rPr>
          <w:b w:val="0"/>
        </w:rPr>
        <w:t xml:space="preserve"> över huvud taget, både bör och kan vara förmyndare. Så tillvida är principen genomförd. Man har emellertid velat tillerkänna fadern företrädesrätt i fråga om barn i äktenskap. I en motion inom första kammaren har herr Lindhagen hemställt, att man skulle fortsätta på den en gång inslagna vägen och att den omyndiges föräldrar båda skulle vara förmyndare. Första lagutskottet har avstyrkt denna motion. Utskottet säger, att den är av</w:t>
        <w:br/>
        <w:br/>
        <w:t>ringa praktisk betydelse, därför att de barn, vilkas föräldrar leva, i regel icke hava någon förmögenhet. Huvudskälet för avstyrkandet har väl varit, att man velat undvika svårigheter, som eljest skulle uppstå i händelse av skiljaktiga meningar hos föräldrarna. Motionären har tänkt sig, att denna fråga skulle lösas så, att om sådan tvist skulle uppstå, så skulle denna hänskjutas till överförmyndaren. Att en sådan lösning icke skulle medföra olägenheter har även uttalats av förutvarande Justitieministern professor Undén 1 en artikel 1 Socialdemokraten för den 9 sistlidne april, i vilken artikel han uttalar sin tillfredsställelse med lagförslaget i dess helhet, men yrkar ändring i sådant avseende, att förmynderskapet skulle tillfalla båda föräldrarna gemensamt. Vad det beträffar, att en sådan ändring skulle vara överflödig, därför att det är så få, som detta gäller, kan man väl häremot med skäl invända, att det icke är fåtalet eller flertalet förekommande fall, som bör vara bestämmande, utan det är riktigheten av själva principen, som bör vara utslagsgivande. Det kan måhända förefalla, som detta vore en obetydlig detalj, som man icke borde haka upp sig på, men den är i själva verket icke så obetydlig som det kunde tyckas. Man säger, att frågan är av ringa praktisk betydelse, men vi veta alla, att i det samhälle, där vi leva, hava de ekonomiska angelägenheterna en ganska stor praktisk betydelse.</w:t>
        <w:br/>
        <w:br/>
        <w:t xml:space="preserve">I 1920 års lag om barn i äktenskap skiljer man mellan vårdnad och förmynderskap. I fråga om vårdnaden, d. v. s. vad som rör de personliga angelägenheterna, hava fader och </w:t>
      </w:r>
      <w:r>
        <w:rPr>
          <w:b/>
        </w:rPr>
        <w:t>moder²</w:t>
      </w:r>
      <w:r>
        <w:rPr>
          <w:b w:val="0"/>
        </w:rPr>
        <w:t xml:space="preserve"> enligt denna lag lika rätt; men när det nu gäller att ta ställning till förmynderskapet, som angår de ekonomiska angeliägenheterna, skall fadern ensam vara den rådande. Skulle man nu besluta, att fadern fortfarande i här avsedda fall skall vara ensam förmyndare, skulle man därmed givetvis omintetgöra den lika rätt i förhållande till barnet, som man förut principiellt tillerkänt modern genom stadgandet, att vårdnaden skall tillkomma bägge föräldrarna. Den rätt, som då skulle tillkomma modern gent-</w:t>
        <w:br/>
        <w:br/>
        <w:t>och laga deras mat, en rätt, som endast en tid, så frikostig på lagar som vår kan anse sig böra inskriva i lagboken.</w:t>
        <w:br/>
        <w:br/>
        <w:t xml:space="preserve">Frisinnade </w:t>
      </w:r>
      <w:r>
        <w:rPr>
          <w:b/>
        </w:rPr>
        <w:t>kvinnors¹</w:t>
      </w:r>
      <w:r>
        <w:rPr>
          <w:b w:val="0"/>
        </w:rPr>
        <w:t xml:space="preserve"> riksförbund och Föreningen frisinnade </w:t>
      </w:r>
      <w:r>
        <w:rPr>
          <w:b/>
        </w:rPr>
        <w:t>kvinnor¹</w:t>
      </w:r>
      <w:r>
        <w:rPr>
          <w:b w:val="0"/>
        </w:rPr>
        <w:t xml:space="preserve"> i Stockholm hava fattat en resolution, vari hemställelse om bifall till herr Lindhagens motion i detta avseende, så att modern tillika med fadern bleve förmyndare för barn i äktenskap. Med stöd härav skulle jag vilja föreslå, att formulering av förra delen av paragrafen blir ungefär följande: » För underårigt barn i äktenskap vare föräldrarna gemensamt förmyndare. Dör en av föräldrarna eller kan någon av dem enligt fjärde paragrafen icke vara förmyndare, eller varder någon av dem entledigad från förmyndarskapet, vare den andra ensam barnets förmyndare.» Jag vill emellertid inskränka mig till att yrka återremiss till utskottet av första stycket i denna paragraf för det av mig angivna syftet, med rätt för utskottet att föreslå även de ändringar i andra föreslagna stadganden, vilka bliva en given följd av den nu föreslagna ändringen i fråga om innehållet i 2 kap. 1 8.</w:t>
      </w:r>
    </w:p>
    <w:p>
      <w:pPr>
        <w:pStyle w:val="Heading2"/>
      </w:pPr>
      <w:r>
        <w:t>7. Jakob Pettersson (Liberala riksdagspartiet, man)</w:t>
      </w:r>
    </w:p>
    <w:p>
      <w:r>
        <w:rPr>
          <w:b w:val="0"/>
        </w:rPr>
        <w:t xml:space="preserve">Herr talman! 1 $ 2 kap. i lagförslaget innehåller, att för underårigt barn i äktenskap fadern skall vara förmyndare. Herr Lindhagen har i sin motion föreslagit, att för underårigt barn i äktenskap föräldrarna skola vara förmyndare gemensamt, eventuellt med tillägg av en bestämmelse, att vid meningsskiljaktighet mellan föräldrarna tvisten skall slitas av överförmyndaren, skiljemän eller rätten. Nu har den tanke, som ligger till grund för herr Lindhagens motion, upptagits av </w:t>
      </w:r>
      <w:r>
        <w:rPr>
          <w:b/>
        </w:rPr>
        <w:t>fröken²</w:t>
      </w:r>
      <w:r>
        <w:rPr>
          <w:b w:val="0"/>
        </w:rPr>
        <w:t xml:space="preserve"> Tamm. Jag vill för min personliga del säga, att det synes mig, att </w:t>
      </w:r>
      <w:r>
        <w:rPr>
          <w:b/>
        </w:rPr>
        <w:t>fröken²</w:t>
      </w:r>
      <w:r>
        <w:rPr>
          <w:b w:val="0"/>
        </w:rPr>
        <w:t xml:space="preserve"> Tamm har alldeles rätt beträffande principen. Detta förslag innebär ett avsteg från den likställighet</w:t>
        <w:br/>
        <w:br/>
        <w:t xml:space="preserve">mellan man och </w:t>
      </w:r>
      <w:r>
        <w:rPr>
          <w:b/>
        </w:rPr>
        <w:t>hustru²</w:t>
      </w:r>
      <w:r>
        <w:rPr>
          <w:b w:val="0"/>
        </w:rPr>
        <w:t xml:space="preserve">, som fastslogs i den nya giftermålsbalken. Att förslaget på denna punkt har avvikit från denna likställighetsprincip, beror därpå, att man har ansett sig icke kunna hävda denna likställighet utan att råka ut för ganska svåra praktiska olägenheter. Förmyndaren har nämligen att träffa avgöranden i en massa angelägenheter av större eller mindre vikt för myndlingen, och av dessa angelägenheter äro många sådana, att ett avgörande måste träffas. Det är inte så, att man kan säga, att om vederbörande inte bli ense, så får saken förfalla, utan i många fall måste ett val träffas av förmyndaren. Om det nu skulle vara två förmyndare, mannen och </w:t>
      </w:r>
      <w:r>
        <w:rPr>
          <w:b/>
        </w:rPr>
        <w:t>hustrun²</w:t>
      </w:r>
      <w:r>
        <w:rPr>
          <w:b w:val="0"/>
        </w:rPr>
        <w:t xml:space="preserve">, som gemensamt skulle utöva förmyndaruppdraget, så kan den eventualiteten inträffa, att i ett fall, då det finns två alternativ att välja emellan, fadern vill ha alternativet Å. men modern alternativet B. Då måste tvisten på något sätt lösas, och detta skulle då enklast kunna ske därigenom, att den, såsom antytts, hänskötes till överförmyndaren. Men nu innehåller föreliggande förslag, att man, såsom billigt är, skall kunna överklaga överförmyndarens beslut. Det talas om i 12 kap. 25 $, att om någon vill föra talan mot överförmyndarens beslut, skall han göra det skriftligen hos rätten. Det är alltså mycket antagligt, att om en verklig meningsskiljaktighet mellan de båda förmyndarna i ett dylikt fall uppstått den icke kan utjämnas genom överförmyndarens jämkning utan går till rätten. Och då ha vi rättegång mellan föräldrarna angående en sådan fråga. Nu har riksdagen, såsom utskottet i sitt betänkande säger, redan vid behandlingen av giftermålsbalken bestämt uttalat sig mot att tvister mellan makar skulle kunna dragas inför domstol i sådana fall, då det dock förelåg en bestämd önskan att hålla ihop äktenskapet. Man ansåg nämligen att detta kunde innebära en fara för sprängning av äktenskapet. Den principen skulle nu frångås, om man på detta område införde möjlighet till rättegång mellan föräldrarna. Härtill kommer, såsom </w:t>
      </w:r>
      <w:r>
        <w:rPr>
          <w:b/>
        </w:rPr>
        <w:t>fröken²</w:t>
      </w:r>
      <w:r>
        <w:rPr>
          <w:b w:val="0"/>
        </w:rPr>
        <w:t xml:space="preserve"> Tamm själv nämnde, att det är 1 så ytterst få fall en bestämmelse av föreslaget innehåll skulle komma att tillämpas, ty det är i mycket få fall, som omyndiga barn i äktenskapet ha egen förmögenhet, medan föräldrarna leva. Endasti den händelse att de fått någon förmögenhet genom gåva eller testamente kan det bli fråga om särskilt förmynderskap för dem. Härtill kan ytterligare läggas, att riksdagen så sent som år 1920 har antagit en lydelse av 20 kap. 1 och 2 $$ ärvdabalken, som just överensstämmer med förslaget i detta stycke. Även detta är ett skäl att inte nu så snart därefter ändra denna bestämmelse.</w:t>
        <w:br/>
        <w:br/>
        <w:t xml:space="preserve">Jag påstår således, att utskottet haft ganska talande skäl, för att i denna punkt frångå den likställighetsprincip, för vilken </w:t>
      </w:r>
      <w:r>
        <w:rPr>
          <w:b/>
        </w:rPr>
        <w:t>fröken²</w:t>
      </w:r>
      <w:r>
        <w:rPr>
          <w:b w:val="0"/>
        </w:rPr>
        <w:t xml:space="preserve"> Tamm här gjort sig till talesman. Skulle det nu emellertid visa sig, att det inom kammaren finns någon utbredd önskan att få saken ytterligare övervägd, så vill jag för min del visst icke motsätta mig en återremiss av paragrafen.</w:t>
        <w:br/>
        <w:br/>
        <w:t xml:space="preserve">När förmyndare skall förordnas, skall därtill utses en rättrådig, erfaren och i övrigt lämplig man eller </w:t>
      </w:r>
      <w:r>
        <w:rPr>
          <w:b/>
        </w:rPr>
        <w:t>kvinna¹</w:t>
      </w:r>
      <w:r>
        <w:rPr>
          <w:b w:val="0"/>
        </w:rPr>
        <w:t>, helst någon, som är med den omyndige besläktad eller besvågrad eller eljest står honom nära.</w:t>
        <w:br/>
        <w:br/>
        <w:t>För minderåriga syskon bör gemensam förmyndare förordnas, såvida icke särskilda skäl tala däremot.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1634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