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484</w:t>
      </w:r>
    </w:p>
    <w:p>
      <w:r>
        <w:rPr>
          <w:b/>
        </w:rPr>
        <w:t xml:space="preserve">Datum: </w:t>
      </w:r>
      <w:r>
        <w:t>1925-03-07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Knut von Geijer (–, man)</w:t>
      </w:r>
    </w:p>
    <w:p>
      <w:r>
        <w:rPr>
          <w:b w:val="0"/>
        </w:rPr>
        <w:t>Herr greve och talman! Det är ju synnerligen prekärt att, om jag så får säga, komma i andra hand, när det gäller ett anslag av ifrågavarande art, i synnerhet efter den utgång, som voteringen nyss fick. Jag anser mig i alla fall nödgad att säga några ord till försvar för den motion, som jag jämte herr Rune väckt. Jag skall icke uppehålla mig vid de principiella skälen för eller emot härvidlag — den saken är redan så noggrant diskuterad under föregående debatt. Jag skall endast erinra om vad det här gäller.</w:t>
        <w:br/>
        <w:br/>
        <w:t xml:space="preserve">Framställningen avser pension åt förre vaktmästaren J. A. Maniettes </w:t>
      </w:r>
      <w:r>
        <w:rPr>
          <w:b/>
        </w:rPr>
        <w:t>änka²</w:t>
      </w:r>
      <w:r>
        <w:rPr>
          <w:b w:val="0"/>
        </w:rPr>
        <w:t xml:space="preserve">. Maniette har i 43 år tjänstgjort i riksdagens tryckeriexpedition. Han avled innevarande år. Hans </w:t>
      </w:r>
      <w:r>
        <w:rPr>
          <w:b/>
        </w:rPr>
        <w:t>änka²</w:t>
      </w:r>
      <w:r>
        <w:rPr>
          <w:b w:val="0"/>
        </w:rPr>
        <w:t xml:space="preserve"> har en pension av 200 kronor från </w:t>
      </w:r>
      <w:r>
        <w:rPr>
          <w:b/>
        </w:rPr>
        <w:t>änkeoch²</w:t>
      </w:r>
      <w:r>
        <w:rPr>
          <w:b w:val="0"/>
        </w:rPr>
        <w:t xml:space="preserve"> pupillkassan. Hade 1922 års avlöningsreglemente varit tillämpligt här, skulle hans </w:t>
      </w:r>
      <w:r>
        <w:rPr>
          <w:b/>
        </w:rPr>
        <w:t>änka²</w:t>
      </w:r>
      <w:r>
        <w:rPr>
          <w:b w:val="0"/>
        </w:rPr>
        <w:t xml:space="preserve"> fått en pension av 460 kronor. Emellertid hade Maniette en så hög ålder, att, när, reglementet trädde i kraft, det icke vann tillämpning på honom.</w:t>
        <w:br/>
        <w:br/>
        <w:t xml:space="preserve">Härigenom har hans </w:t>
      </w:r>
      <w:r>
        <w:rPr>
          <w:b/>
        </w:rPr>
        <w:t>änka²</w:t>
      </w:r>
      <w:r>
        <w:rPr>
          <w:b w:val="0"/>
        </w:rPr>
        <w:t xml:space="preserve"> nödgats nöja sig med ett pensionsbelopp av allenast 200 kronor.</w:t>
        <w:br/>
        <w:br/>
        <w:t xml:space="preserve">Herr Winberg yttrade för en stund sedan, att man borde taga hänsyn till, huruvida det belopp en person har i pension, är så ringa, att man inte kan antaga, att vederbörande kan existera på detsamma. Det förmenar jag, att förhållandet är i detta fall med dessa 200 kronor. Jag tycker därför, att riksdagen kunde finna sig föranlåten att öka denna summa, så att </w:t>
      </w:r>
      <w:r>
        <w:rPr>
          <w:b/>
        </w:rPr>
        <w:t>änkan²</w:t>
      </w:r>
      <w:r>
        <w:rPr>
          <w:b w:val="0"/>
        </w:rPr>
        <w:t xml:space="preserve"> får det belopp, som nu är lagstadgat, nämligen 460 kronor. Jag vet ju väl, att vid övergången till den nya pensionsstaten de, som blivit pensionerade före den nu gällande lagens ikraftträdande givetvis komma i en betydligt sämre ställning. Det är svårt och ofta omöjligt att göra något till förbättrande av ifrågavarande personers förhållanden, men om tillfälle därtill bjudes i ett fall, där alla skäl tala för en dylik förhöjd pension, synes det mig, att riksdagen borde begagna sig därav. Jag skall be att få ändra motionens yrkande dithän, att det pensionsbelopp, som jag hemställer, att riksdagen måtte bevilja J. A. Maniettes </w:t>
      </w:r>
      <w:r>
        <w:rPr>
          <w:b/>
        </w:rPr>
        <w:t>änka²</w:t>
      </w:r>
      <w:r>
        <w:rPr>
          <w:b w:val="0"/>
        </w:rPr>
        <w:t xml:space="preserve">, sättes till 260 kronor i stället för i motionen angivna 300 kronor. Därigenom skulle </w:t>
      </w:r>
      <w:r>
        <w:rPr>
          <w:b/>
        </w:rPr>
        <w:t>hon²</w:t>
      </w:r>
      <w:r>
        <w:rPr>
          <w:b w:val="0"/>
        </w:rPr>
        <w:t xml:space="preserve"> komma i samma läge som änkor efter personer 1 samma tjänsteställning, som </w:t>
      </w:r>
      <w:r>
        <w:rPr>
          <w:b/>
        </w:rPr>
        <w:t>hennes²</w:t>
      </w:r>
      <w:r>
        <w:rPr>
          <w:b w:val="0"/>
        </w:rPr>
        <w:t xml:space="preserve"> man hade. Det förefaller mig, som om många skäl tala härför. De 260 kronorna skulle man med rätta kunna anse, att Maniette i riklig mån gjort skäl för under de 43 år han oförvitligt arbetat 1 riksdagens tjänst.</w:t>
        <w:br/>
        <w:br/>
        <w:t xml:space="preserve">Jag kan, herr greve och talman, icke underlåta att framhålla, att den fara för prejudikat, som hela den föregående diskussionen rört sig om, näppeligen här kan åberopas. Ett fall som detta torde vara sällsynt. Jag vill också erinra om att riksdagen år 1915 just beviljat pension åt </w:t>
      </w:r>
      <w:r>
        <w:rPr>
          <w:b/>
        </w:rPr>
        <w:t>änkan²</w:t>
      </w:r>
      <w:r>
        <w:rPr>
          <w:b w:val="0"/>
        </w:rPr>
        <w:t xml:space="preserve"> efter en person, som haft en anställning hos riksdagen. De skäl, som nu äro åberopade för att man icke skall avvika från den principiella ordningen, gällde även 1915, men det oaktat beviljade riksdagen denna pension. Förhållandena kunna givetvis i vissa fall vara sådana, att en avvikelse icke medför någon risk för prejudikat, utan endast innebär en full rättvisa. Ett sådant fall, anser jag, herr greve och talman, att det nu föreliggande är, och därför ber jag som sagt att få göra det yrkandet, att riksdagen måtte bifalla motionen, men med den ändringen, att pensionsbeloppet sättes till 260 kronor.</w:t>
      </w:r>
    </w:p>
    <w:p>
      <w:pPr>
        <w:pStyle w:val="Heading2"/>
      </w:pPr>
      <w:r>
        <w:t>2. Charles Lindley (Socialdemokraterna, man)</w:t>
      </w:r>
    </w:p>
    <w:p>
      <w:r>
        <w:rPr>
          <w:b w:val="0"/>
        </w:rPr>
        <w:t xml:space="preserve">Herr talman! I detta liksom i de andra fallen har bankoutskottet icke ansett sig kunna tillstyrka motionärernas framställning. Den avlidne vaktmästaren Maniette var på sin tid icke berättigad till någon pension på grund av sin anställning hos riksdagen. </w:t>
      </w:r>
      <w:r>
        <w:rPr>
          <w:b/>
        </w:rPr>
        <w:t>Änkan²</w:t>
      </w:r>
      <w:r>
        <w:rPr>
          <w:b w:val="0"/>
        </w:rPr>
        <w:t xml:space="preserve"> har sedan från civilstatens </w:t>
      </w:r>
      <w:r>
        <w:rPr>
          <w:b/>
        </w:rPr>
        <w:t>änkeoch²</w:t>
      </w:r>
      <w:r>
        <w:rPr>
          <w:b w:val="0"/>
        </w:rPr>
        <w:t xml:space="preserve"> pupillkassa fått en pension på 200 kronor, och vi ha under sådana omständigheter icke ansett oss kunna gå med på att bevilja </w:t>
      </w:r>
      <w:r>
        <w:rPr>
          <w:b/>
        </w:rPr>
        <w:t>henne²</w:t>
      </w:r>
      <w:r>
        <w:rPr>
          <w:b w:val="0"/>
        </w:rPr>
        <w:t xml:space="preserve"> någon ytterligare pension. Vi ha haft ett liknande fall år 1918, då vaktmästaren i konstitutionsutskottet Anderssons </w:t>
      </w:r>
      <w:r>
        <w:rPr>
          <w:b/>
        </w:rPr>
        <w:t>änka²</w:t>
      </w:r>
      <w:r>
        <w:rPr>
          <w:b w:val="0"/>
        </w:rPr>
        <w:t xml:space="preserve"> Signe Elisabet Andersson erhöll en gratifikation på 1,000 kronor. Det konstaterades då, att </w:t>
      </w:r>
      <w:r>
        <w:rPr>
          <w:b/>
        </w:rPr>
        <w:t>hon²</w:t>
      </w:r>
      <w:r>
        <w:rPr>
          <w:b w:val="0"/>
        </w:rPr>
        <w:t xml:space="preserve"> befann sig i små omständigheter och hade att draga försorg om en minderårig son. Vi ha i detta fall velat förfara på samma sätt. Då vi icke ansett oss kunna bevilja </w:t>
      </w:r>
      <w:r>
        <w:rPr>
          <w:b/>
        </w:rPr>
        <w:t>änkan²</w:t>
      </w:r>
      <w:r>
        <w:rPr>
          <w:b w:val="0"/>
        </w:rPr>
        <w:t xml:space="preserve"> Maniette pension i enlighet med motionärernas framställning, ha vi hemställt, att </w:t>
      </w:r>
      <w:r>
        <w:rPr>
          <w:b/>
        </w:rPr>
        <w:t>hon²</w:t>
      </w:r>
      <w:r>
        <w:rPr>
          <w:b w:val="0"/>
        </w:rPr>
        <w:t xml:space="preserve"> måtte erhålla ett på en gång utgående bidrag på 1,000 kronor. Jag måste därför yrka bifall till utskottets förslag.</w:t>
      </w:r>
    </w:p>
    <w:p>
      <w:pPr>
        <w:pStyle w:val="Heading2"/>
      </w:pPr>
      <w:r>
        <w:t>3. Axel Rune (Frisinnade folkpartiet, man)</w:t>
      </w:r>
    </w:p>
    <w:p>
      <w:r>
        <w:rPr>
          <w:b w:val="0"/>
        </w:rPr>
        <w:t xml:space="preserve">Herr greve och talman, mina herrar! Jag undrar i alla fall, om det inte vore klokare att gå den vägen, att man beviljar </w:t>
      </w:r>
      <w:r>
        <w:rPr>
          <w:b/>
        </w:rPr>
        <w:t>änkan²</w:t>
      </w:r>
      <w:r>
        <w:rPr>
          <w:b w:val="0"/>
        </w:rPr>
        <w:t xml:space="preserve"> Maniette en något mindre pension i stället för en gratifikation. Om </w:t>
      </w:r>
      <w:r>
        <w:rPr>
          <w:b/>
        </w:rPr>
        <w:t>hon²</w:t>
      </w:r>
      <w:r>
        <w:rPr>
          <w:b w:val="0"/>
        </w:rPr>
        <w:t xml:space="preserve"> erhåller den föreslagna eoratifikationen. kan man ju mycket väl tänka sig, att den icke kom-</w:t>
        <w:br/>
        <w:br/>
        <w:t xml:space="preserve">Årg. årligt mer att ha så stort värde för </w:t>
      </w:r>
      <w:r>
        <w:rPr>
          <w:b/>
        </w:rPr>
        <w:t>henne²</w:t>
      </w:r>
      <w:r>
        <w:rPr>
          <w:b w:val="0"/>
        </w:rPr>
        <w:t xml:space="preserve"> annat än under en kortare tid, säg ett eller understöd åt o sa ö 5 . 2 vaktmästaren ett Par år. Man vet ju inte, i vad mån en gammal </w:t>
      </w:r>
      <w:r>
        <w:rPr>
          <w:b/>
        </w:rPr>
        <w:t>kvinna¹</w:t>
      </w:r>
      <w:r>
        <w:rPr>
          <w:b w:val="0"/>
        </w:rPr>
        <w:t xml:space="preserve"> som </w:t>
      </w:r>
      <w:r>
        <w:rPr>
          <w:b/>
        </w:rPr>
        <w:t>hon²</w:t>
      </w:r>
      <w:r>
        <w:rPr>
          <w:b w:val="0"/>
        </w:rPr>
        <w:t xml:space="preserve"> kan för- I. Aj ståndigt använda sina pengar. Men om man ger </w:t>
      </w:r>
      <w:r>
        <w:rPr>
          <w:b/>
        </w:rPr>
        <w:t>henne²</w:t>
      </w:r>
      <w:r>
        <w:rPr>
          <w:b w:val="0"/>
        </w:rPr>
        <w:t xml:space="preserve"> en pension, även om det Maniettes är en mindre sådan, har man sörjt något för denna gamla </w:t>
      </w:r>
      <w:r>
        <w:rPr>
          <w:b/>
        </w:rPr>
        <w:t>kvinnas¹</w:t>
      </w:r>
      <w:r>
        <w:rPr>
          <w:b w:val="0"/>
        </w:rPr>
        <w:t xml:space="preserve"> ålderdom. </w:t>
      </w:r>
      <w:r>
        <w:rPr>
          <w:b/>
        </w:rPr>
        <w:t>änka²</w:t>
      </w:r>
      <w:r>
        <w:rPr>
          <w:b w:val="0"/>
        </w:rPr>
        <w:t xml:space="preserve">; Jag vill påpeka, att det är ytterst få fall, som kunna komma att inträffa, (Foris.) då en person så länge varit i riksdagens tjänst som i det förevarande. Jag menar sålunda, att några konsekvenser, som man bör rädas för, i detta fall icke synas föreligga. Framför allt synes det mig vara mycket klokare, om man i ett sådant fall giver en gammal </w:t>
      </w:r>
      <w:r>
        <w:rPr>
          <w:b/>
        </w:rPr>
        <w:t>kvinna¹</w:t>
      </w:r>
      <w:r>
        <w:rPr>
          <w:b w:val="0"/>
        </w:rPr>
        <w:t xml:space="preserve"> som denna en årlig pension, och det är för </w:t>
      </w:r>
      <w:r>
        <w:rPr>
          <w:b/>
        </w:rPr>
        <w:t>henne²</w:t>
      </w:r>
      <w:r>
        <w:rPr>
          <w:b w:val="0"/>
        </w:rPr>
        <w:t xml:space="preserve"> mycket värdefullare och bättre, än att man ger </w:t>
      </w:r>
      <w:r>
        <w:rPr>
          <w:b/>
        </w:rPr>
        <w:t>henne²</w:t>
      </w:r>
      <w:r>
        <w:rPr>
          <w:b w:val="0"/>
        </w:rPr>
        <w:t xml:space="preserve"> en gratifikation en gång för alla. Sålunda skall jag, herr greve och talman, be att få förena mig i det yrkande, som framställts av herr von Geijer.</w:t>
        <w:br/>
        <w:br/>
        <w:t>för sin del besluta att antaga det genom propositionen framlagda lagförslaget med vissa ändringar och tillägg i 3, 4 och 8 $$.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