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486</w:t>
      </w:r>
    </w:p>
    <w:p>
      <w:r>
        <w:rPr>
          <w:b/>
        </w:rPr>
        <w:t xml:space="preserve">Datum: </w:t>
      </w:r>
      <w:r>
        <w:t>1925-03-07</w:t>
      </w:r>
    </w:p>
    <w:p>
      <w:r>
        <w:rPr>
          <w:b/>
        </w:rPr>
        <w:t xml:space="preserve">Kammare: </w:t>
      </w:r>
      <w:r>
        <w:t>Första kammaren</w:t>
      </w:r>
    </w:p>
    <w:p>
      <w:r>
        <w:rPr>
          <w:b/>
        </w:rPr>
        <w:t xml:space="preserve">Antal yttranden: </w:t>
      </w:r>
      <w:r>
        <w:t>2</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2026.10.13</w:t>
      </w:r>
    </w:p>
    <w:p>
      <w:r>
        <w:rPr>
          <w:i/>
        </w:rPr>
        <w:t>Markerade ord: ¹ kvinna-ord, ² släktskaps- och tilltalsord, ³ yrkestitlar.</w:t>
      </w:r>
    </w:p>
    <w:p>
      <w:pPr>
        <w:pStyle w:val="Heading2"/>
      </w:pPr>
      <w:r>
        <w:t>1. Olof Olsson (Socialdemokraterna, man)</w:t>
      </w:r>
    </w:p>
    <w:p>
      <w:r>
        <w:rPr>
          <w:b w:val="0"/>
        </w:rPr>
        <w:t>Herr talman! Efter att i nära sex timmar ha åhört en debatt i denna fråga i såväl andra kammaren som nu i denna har jag kommit underfund med att allt det myckna, som säges, alldeles för lätt leder bort ifrån de enkla och klara linjer, som kunna läggas vid bedömandet av den</w:t>
        <w:br/>
        <w:br/>
        <w:t>fråga, som det här gäller. Det är närmast för att nu, innan kammaren går till Ang. utsträckt votering, söka återföra tankarna just till dessa linjer, som jag begärt ordet. pä HET Seden</w:t>
        <w:br/>
        <w:br/>
        <w:t>Den, som först yttrade sig i medkammaren, förklarade, att den kungl. propobegränsa. sitionen såväl som utskottets utlåtande inte alls gav svar på den fråga, som (Forts.) riksdagen en gång hade framställt, och det må ju vara sant. Det är nog så, att den som varit med om debatterna här i den fråga, som på sätt och vis givit sitt namn åt det, som nu är före, den märker ju detta granneligen. Men om också inte svaret gives direkt på frågan, så gives det i alla fall på den andemening, som låg i den fråga, som en gång ställdes. Ty utgångspunkten, som vi nu alla äro med om, det är ju den, att den dödes vilja i detta stycke skall respekteras. Har han levat i en omgivning, som är kyrklig, men i döden inte vill foga sig under de åskådningar om en människas begravning, som där röra sig, och har han gett uttryck åt sin vilja i den riktningen, då är det för alla klart, att detta skall respekteras. Har han levat i frikyrkliga eller andra kretsar, är saken lika klar. Det är således inte om detta, som vi tvista, utan vi tvista om en annan sak, nämligen den: hur vi skola kunna skapa garantier för att denna vilja verkligen och under alla omständigheter respekteras. Utan att man egentligen har sagt ut det här under debatterna, är det den saken, som tvisten gäller. Och detta kommer särskilt fram, om det skulle visa sig, att den avlidne inte lämnat något som helst skriftligt efter sig eller annars något, som är bevittnat. Det är då, som vi ha två ståndpunkter att räkna med. Vi ha dels den prästerliga ståndpunkten, om jag får kalla den så. Den säger: Finns det inte någonting skriftligt, skall den det gäller begravas kyrkligt. Den andra ståndpunkten tror jag man kan kalla för den frikyrkliga, och den säger: Finns det inte någonting skriftligt, då är det de anhöriga, som böra bestämma i saken. De sakkunniga, Kungl. Maj:t och utskottet ha gått på den linjen, men nu komma reservanterna och säga, att det räcker inte; det bringar ingen klarhet, och det är klarhet, som framför allt måste till just nu. Det är svårartade förhållanden, som det här gäller, och ju klarare ju bättre. Och så tillägger man, att de anhöriga måste vara eniga, och denna anhållan om att den döde skall få begravas på ett visst sätt måste ske utan gensägelse från. någon.</w:t>
        <w:br/>
        <w:br/>
        <w:t>När jag en gång i tiden satt som ledamot i religionsfrihetskommittén och hade plikten att försöka tränga in i dessa spörsmål och söka komma till en ståndpunkt, som något så när kunde hålla, ty det är klart, att tankarna växla mycket och lätt i frågor sådana som dessa, då fann jag efter mina överväganden, att de, som i grund och botten vore de närmast intresserade i denna sak -— det var de anhöriga. Den döde spelar i alla fall en rätt stum och ointresserad roll i det som sker. Och det förefalier mig, som om man lugnt kunde lita på de anhöriga. Vi ha väl alltid skyldighet att gå ut ifrån, att det bästa förhållande rått, och jag tänker mig väl, att de anhöriosa och den döde levat i en frändskap. som också varit andlig. Jag tänker mig vidare, att det är riktigt, att i ett sådant ögonblick ha förtroende och säga sig, att det nog inte är tänkbart egentligen i normala fall, att de anhöriga skulle vilja göra något, som skulle gå den döde emot. Naturligtvis kan man inte se bort ifrån, att människor äro människor, att de ha olika uppfattningar och att de i värsta fall äro kivaktiga. Naturligtvis kan det råda skilda meningar och dessa kunna mynna ut i kiv, men är det inte rimligt att låta sådant få göras upp bland de anhöriga själva. Och är inte den sämsta utvägen just den, som reservanterna föreslå, nämligen att liksom skjuta in kivet i lagtexten och laga det så att, om någon av de anhöriga inte har samma uppfattning som de övriga, han då tvärt skall kunna sätta sitt veto mot alla de andra anhörigas vilja.</w:t>
        <w:br/>
        <w:br/>
        <w:t>Det förefaller mig, som om reservanternas sätt att lösa frågan helt enkelt provocerar kivet och inte nog med detta utan också gör det nästan omöjligt att lösa frågan på sämjans väg.</w:t>
        <w:br/>
        <w:br/>
        <w:t>utslräckt</w:t>
        <w:br/>
        <w:br/>
        <w:t>Den andra stora tvistefrågan är ju frågan om, huruvida kyrkorna skola kunna</w:t>
        <w:br/>
        <w:br/>
        <w:t>" få användas eller inte. De sakkunniga ha inga bestämmelser velat ge. Kungl.</w:t>
        <w:br/>
        <w:br/>
        <w:t>Maj:t har inte heller velat göra detta, men det är alldeles uppenbart, att man spårar en viss bestämd sympati för att kyrkorna skola kunna få upplåtas. På den punkten förefaller det mig som om den prästerliga fantasien hade fått de starkaste vingarna, och när prästerna samlat sig i myndigheter, ha de kommit till det resultatet, att man här måste ha en reglering. Och man måste ha en sådan reglering, som stadgar absolut förbud för att kyrkorna skola kunna på detta sätt användas. Och denna synpunkt har ju så småningom mynnat ut i den motion, som herr Bergqvist särskilt företräder. Men vi skola inte se bort ifrån att det också finns röster inom det prästerliga lägret, som säga, att ett sådant upplåtande i vissa enstaka fall bör kunna få ske, om det bara finns garantier för att inte något, som med ett hårt ord kan kallas otillständigt, inträffar.</w:t>
        <w:br/>
        <w:br/>
        <w:t>På en annan sida har man också sökt precisera denna sak närmare, och man har stannat vid att säga, att för den händelse inte någon annan plats finnes o0. s. v bör ett upplåtande kunna ske.</w:t>
        <w:br/>
        <w:br/>
        <w:t xml:space="preserve">Nu måste jag säga, att det här är en verkligt svår fråga. Det är inte tu tal om annat än att de sakkunniga ha rätt, när de påpeka att det för många naturligtvis måste förefalla rätt orimligt, att människor skola tränga sig in och samlas inom väggar, som äro helgade åt uppfattningar och äskådningssätt och en livssyn, som inte alls stämmer överens med deras, som tränga sig in, och att detta dessutom skall få kristallisera ut sig i ceremonier. Men när jag, såsom jag förut nämnde, satt som ledamot i religionsfrihetskommittén under dess första tid och gick igenom de diskussioner i denna punkt, som alldeles särskilt ägt rum i Norge, där man löpte hela skalan ut, allt ifrån den meningen, att det var obilligt, att människor skulle stå ute i oväder, och ända fram till det orimliga i att kanhända bygdens bästa barn, </w:t>
      </w:r>
      <w:r>
        <w:rPr>
          <w:b/>
        </w:rPr>
        <w:t>kvinnor¹</w:t>
      </w:r>
      <w:r>
        <w:rPr>
          <w:b w:val="0"/>
        </w:rPr>
        <w:t xml:space="preserve"> och män, inte skulle kunna begravas 1 kyrkan i den församling, som de ägnat sina bästa tankar och sitt bästa arbete, fick jag den föreställningen, att det är någonting bestämt i alla fall, som talar för detta öppnande av kyrkorna. Men nu är det inte den saken, det gäller. Jag har suttit här och lyssnat till diskussionen och lagt märke till hur man rätt ordentligt gått omkring den punkt, som det egentligen gäller. Ty det är inte så mycket frågan om, huruvida kyrkorna skola öppnas eller inte öppnas, utan det är fråga. om, hur prästens ställning i detta fall blir. Det är egentligen inte så mycket kyrkan, man vill skydda, som snarare prästen. Man resonerar som så, att han skulle kunna komma i en verkligt obehaglig ställning. Åvslår han en framställning om att kyrkan skall få användas — ja, då alstrar detta kanhända tvedräkt mellan honom och stora delar av församlingen. Bifaller han — ja, då är det svårt för honom att kunna göra det med full garanti för att inte något skall hända, som han sedermera får bära skammen för. Och så blir det olika praxis, och denna olika praxis kommer i sin tur att föra med sig ytterligare konflikter.</w:t>
        <w:br/>
        <w:br/>
        <w:t>Nu gå reservationerna även på denna punkt i klarhetens tecken, och herr Bergqvist sade alldeles nyss, att herr Hederstiernas reservation var den klaraste. Naturligtvis är det klart, att om man förbjuder allt, så blir det i varje fall inte någon olika praxis. Men jag tror, att vi i alla fall allesammans ha en förnimmelse av att den ståndpunkten är inhuman, intolerant och i viss mening fanatisk. Den ståndpunkt, som herr Lyberg företräder, löser heller ingenting, ty det kommer sedermera lika lätt att bli tvist om den meningen, huruvida det finns något annat ställe eller ej, som det kan bli tvist om allting annat. Personligen tror jag, att är man av den uppfattningen, att tolerans, humanitet och respekt för de andliga tingen ha framtiden för sig, då är den ståndpunkten, som regeringsförslaget intager, den enda riktiga. På sådana orter, där bild-</w:t>
        <w:br/>
        <w:br/>
        <w:t>ningen och toleransen äro större, där kommer det utan vidare att kunna gå för sig, att kyrkorna öppnas, och på sådana orter, där bildningen och toleransen äro mindre, där blir man i tillfälle att övertänka den här saken. Man blir i tillfälle att besinna sig i dessa ting. Och det är ju på det sättet som framåtskridandet sker. Det är ju på det sättet, som man så småningom odlar upp de andliga markerna och ringar in, så att säga, de områden, där naturtillståndet ännu råder. Jag menar, att i det arbetet har prästen också skyldighet att taga del. Och om det är så, att han är den andlige ledaren på en plats, då bör det hans plikt och skyldighet att taga det ansvar, som den ställningen för med sig.</w:t>
      </w:r>
    </w:p>
    <w:p>
      <w:pPr>
        <w:pStyle w:val="Heading2"/>
      </w:pPr>
      <w:r>
        <w:t>2. Ivan Pauli (Socialdemokraterna, man)</w:t>
      </w:r>
    </w:p>
    <w:p>
      <w:r>
        <w:rPr>
          <w:b w:val="0"/>
        </w:rPr>
        <w:t>Herr talman! Eftersom jag är motionär i frågan, skall jag be att få yttra några ord, men jag skall fatta mig kort med hänsyn till att tiden är så långt framskriden.</w:t>
        <w:br/>
        <w:br/>
        <w:t xml:space="preserve">När man ser den behandling, som denna fråga underkastats vid innevarande riksdag, kan man icke underlåta att känna glädje och man frestas att upprepa den gamle italienarens ord: »Och ändå rör </w:t>
      </w:r>
      <w:r>
        <w:rPr>
          <w:b/>
        </w:rPr>
        <w:t>hon²</w:t>
      </w:r>
      <w:r>
        <w:rPr>
          <w:b w:val="0"/>
        </w:rPr>
        <w:t xml:space="preserve"> sig.» Ty det är en påfallande skillnad i den ställning, som särskilt de kyrkliga myndigheterna intaga den här gången, och den, som de intogo för endast relativt få år sedan. Man har kunnat konstatera en glädjande enighet såväl i själva huvudprincipen som även i fråga om en sådan detalj som kyrkogårds upplåtande för borgerlig begravning, en fråga, som för en del år sedan var föremål för en ganska animerad pressdiskussion. Denna principiella enighet företrädes icke bara av herr Bergavist, utan till och med av herr Ekman, som annars här har representerat den starkast avvisande ståndpunkten.</w:t>
        <w:br/>
        <w:br/>
        <w:t>Det föreföll, som om herr Ekman stödde sitt avstyrkande av hela propositionen på den synpunkten, att frågan om borgerlig begravning bör upptagas först i samband med frågan om utträde ur statskyrkan. En sådan ståndpunkt är dock ohållbar, när man tänker på att vi nu ändå ha kommit därhän, att man kan bli befriad från dop och kyrklig vigsel, utan att det därför fordras utträde ur statskyrkan. Det synes berättigat, att samma frihet, som härvidlag tillhör medlemmar av statskyrkan, även bör tillkomma dem i fråga om begravning.</w:t>
        <w:br/>
        <w:br/>
        <w:t>I stort sett kan jag icke finna annat än att såväl regeringsförslaget som de sakkunnigas förslag, på vilket regeringen har stött sig, äro väl avvägda i de allra flesta avseenden. Det har likväl synts mig och min medmotionär, som om jämkningar skulle kunna vara nyttiga och nödiga i ett par punkter. Herr statsrådet och chefen för ecklesiastikdepartementet har alldeles nyss berört dessa två punkter. Jag kan icke känna mig övertygad av hans resonemang i fråga om vad som bör göras för respekterandet av den dödes vilja och i fråga om enigheten mellan de efterlevande. Han utgår ifrån, säger han, att de anhöriga i regel äro ense. Men man måste väl ändå lagstifta även för undantagen. Och jag kan icke finna annat än att den tanke, som vår motion och herr Lybergs reservation ger uttryck åt, nämligen fordran att icke några gensagor resas av några av de efterlevande, också har legat till grund för de sakkunnigas utlåtande. De säga nämligen, att »vid oenighet mellan flera, som måste anses lika närstående, torde regeln, att jordfästning, då skriftligt förordnande av den av- Hne om motsatsen icke föreligger, skall ske i svenska kyrkans ordning, böra gälla».</w:t>
        <w:br/>
        <w:br/>
        <w:t>Vad beträffar de argument, som herr justitieministern framlade mot lämpligheten av skriftligt intyg och uttrycklig önskan från de efterlevande, ber jag endast få framhålla. att dessa argument icke träffa den Lybergska reservationen. i vilken varken påyrkas skriftligt intyg eller uttrycklig önskan. Jag skall för övrigt icke närmare uppehålla mig vid denna sak. då reservanten herr T.yherg redan närmare har utvecklat den. Jag vill endast understryka. att</w:t>
        <w:br/>
        <w:br/>
        <w:t>det för en lag av detta slag givetvis är av största betydelse, att icke några misshälligheter mellan dem det närmast gäller komma att ända från början verka störande på lagens tillämpning.</w:t>
        <w:br/>
        <w:br/>
        <w:t>Beträffande den andra huvudfrågan, nämligen kyrkorummets upplåtelse för begravningar utan jordfästning i svenska kyrkans ordning, har denna fråga visat sig vara av mera brännbar natur. Herr Rogberg framhöll i anslutning till herr Hederstiernas reservation, att det enklaste vore att helt stänga kyrkorna. Och det kan man ju gå med på, att då vore alla tvistigheter undanskjutna. Kungl. Maj:t har, som det synes mig med full rätt, avvisat detta anspråk på att kyrkorna fullständigt skulle stängas för alla icke kyrkliga jordfästningar. Emellertid kunde det nog varit skäl för Kungl. Maj:t att taga litet mera hänsyn till de som det synes berättigade önskemål, som framställts från kyrkligt håll i denna sak. Det framhålles, att en tung ansvarsbörda här drabbar den enskilde prästen, när han skall avgöra, huruvida kyrkan skall upplåtas eller icke. Jag tillåter mig också erinra om att när det gällde prövningsplikt för präst i en annan fråga, nämligen utrönande av den avlidnes vilja, har Kungl. Maj:t tagit sådan hänsyn. Det förefaller som om man skulle kunnat göra detta även här.</w:t>
        <w:br/>
        <w:br/>
        <w:t>Herr Ekman har funnit det olämpligt, att kyrkor skulle upplåtas ens i sådana fall, då ingen annan tjänlig lokal finnes att tillgå, och herr Bergqvist ville rent av göra gällande, att ett sådant behov, som motionärerna hänvisat till, icke skulle existera. Det är nog likväl alldeles tydligt, att det är icke överallt i vårt vidsträckta land med dess ofta mycket stora församlingar som det härvidlag finnes lämpliga lokaler, vare sig folkets hus, godtemplarhus eller kapell. Visserligen instämmer jag fullständigt med den ärade talare i medkammaren, som framhöll, att det vid en borgerlig begravning helt säkert kommer att anses att den bästa lokalen är ute i det fria under den blåa himlen, men det är tyvärr icke så, att himlen alltid är blå, utan vi ha också att göra med årstider, då bitande köld eller svårt oväder kan hindra en begravnings hållande i det fria. Jag tillåter mig därför fråga herr Ekman, huruvida det är förenligt med den humanitet, som herr Ekman väl vill göra anspråk på i kraft av den religiösa åskådning han företräder, att icke taga några som helst hänsyn till sjuklingar och åldringar under sådana svåra väderleksförhållanden. Jag medger visserligen, att en sådan anordning ibland skulle kunna medföra nya konfliktanledningar, men det har intygats, även från kyrkligt håll, att man här dock finge något fast att hålla sig vid, och det förefaller mig oriktigt att göra en lag så vag och svävande, som den föreslagna lagen är i denna punkt.</w:t>
        <w:br/>
        <w:br/>
        <w:t>Vad beträffar herr Ekmans anförande vill jag tillägga, att Jag icke kan finna, att de anmärkningar han tillät sig beträffande ett visst anförande vid en under stor anslutning nyligen hållen begravning ha något som helst i detta sammanhang att göra.</w:t>
        <w:br/>
        <w:br/>
        <w:t>Jag ber, herr talman, att på de grunder, som jag nu har utvecklat, få yrka bifall till herr Lybergs reservation, som visserligen icke i alla detaljer täcker den av herr Olsson och mig väckta motionen, men som dock i det väsentliga tillgodoser de synpunkter, som jag här i korthet velat framhålla.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486</dc:title>
  <dc:subject>2026.10.13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2026.10.13</cp:version>
</cp:coreProperties>
</file>