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501</w:t>
      </w:r>
    </w:p>
    <w:p>
      <w:r>
        <w:rPr>
          <w:b/>
        </w:rPr>
        <w:t xml:space="preserve">Datum: </w:t>
      </w:r>
      <w:r>
        <w:t>1926-03-17</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Klefbeck (Socialdemokraterna, man)</w:t>
      </w:r>
    </w:p>
    <w:p>
      <w:r>
        <w:rPr>
          <w:b w:val="0"/>
        </w:rPr>
        <w:t>Jag skall icke hålla någon lång predikan, då detta ärende är av jämförelsevis ringa betydelse.</w:t>
        <w:br/>
        <w:br/>
        <w:t xml:space="preserve">Klockarinstitutionen, som det rör sig om, är ju en institution, som kan sägas hava överlevat sig själv. Den var ursprungligen någon slags betjäntsyssla åt kyrkoherden, men dit hörande ärenden ha numera överflyttats på andra tjänstemän. På landsbygden är denna syssla vanligen förenad med skollärareeller organisttjänster eller med bådadera eller ock med kyrkosångartjänsten. De andra uppdragen äro det väsentliga, de som giva vederbörande något egentligt arbete. Klockarsysslan är mer en gammal relik, och för dem, som på landsbygden innehava densamma, kan den knappast sägas medföra något egentligt arbete, ingenting att tala om åtminstone. Den bibehålles i alla fall till namnet. Därmed är den olägenheten förenad, att när en </w:t>
      </w:r>
      <w:r>
        <w:rPr>
          <w:b/>
        </w:rPr>
        <w:t>kvinna¹</w:t>
      </w:r>
      <w:r>
        <w:rPr>
          <w:b w:val="0"/>
        </w:rPr>
        <w:t xml:space="preserve"> vill söka en förenad ortganist-, klockareoch skollärartjänst, måste </w:t>
      </w:r>
      <w:r>
        <w:rPr>
          <w:b/>
        </w:rPr>
        <w:t>hon²</w:t>
      </w:r>
      <w:r>
        <w:rPr>
          <w:b w:val="0"/>
        </w:rPr>
        <w:t xml:space="preserve"> söka tillstånd hos Kungl. Maj:t för att få detta. </w:t>
      </w:r>
      <w:r>
        <w:rPr>
          <w:b/>
        </w:rPr>
        <w:t>Hon²</w:t>
      </w:r>
      <w:r>
        <w:rPr>
          <w:b w:val="0"/>
        </w:rPr>
        <w:t xml:space="preserve"> är utan vidare berättigad att söka skolläraroch organisttjänster, men icke klockartjänster, utan måste för dem hava särskild dispens. Frågan är ju icke av någon egentlig betydelse, men man tycker det är litet lustigt, att för en syssla utan egentlig betydelse man skall behöva söka tillstånd, men alls icke för att få de andra sysslorna, som ha betydelse. Inom städerna, Stockholm i synnerhet, har klockarinstitutionen övergått till att bliva en skrivbiträdesbefattning. Jag kan icke heller förstå, varför icke en </w:t>
      </w:r>
      <w:r>
        <w:rPr>
          <w:b/>
        </w:rPr>
        <w:t>kvinna¹</w:t>
      </w:r>
      <w:r>
        <w:rPr>
          <w:b w:val="0"/>
        </w:rPr>
        <w:t xml:space="preserve"> skulle kunna få söka en sådan befattning.</w:t>
        <w:br/>
        <w:br/>
        <w:t xml:space="preserve">Då nu i allmänhet riksdagen gått in för att olika slag av ämbeten skola upplåtas åt </w:t>
      </w:r>
      <w:r>
        <w:rPr>
          <w:b/>
        </w:rPr>
        <w:t>kvinnor¹</w:t>
      </w:r>
      <w:r>
        <w:rPr>
          <w:b w:val="0"/>
        </w:rPr>
        <w:t>, ha vi reservanter även ansett, att i fråga om denna lilla syssla det skulle kunna bli ett liknande förhållande. Andra kammaren har redan 1892 uttalat sig för förslaget, och riksdagen har 1910 skrivit i ämnet.</w:t>
        <w:br/>
        <w:br/>
        <w:t>Jag skall icke hålla på längre, jag har endast ansett mig böra, i konsekvens med riksdagens förut intagna ståndpunkt, yrka bifall till reservationen.</w:t>
      </w:r>
    </w:p>
    <w:p>
      <w:pPr>
        <w:pStyle w:val="Heading2"/>
      </w:pPr>
      <w:r>
        <w:t>2. Assar Åkerman (Socialdemokraterna, man)</w:t>
      </w:r>
    </w:p>
    <w:p>
      <w:r>
        <w:rPr>
          <w:b w:val="0"/>
        </w:rPr>
        <w:t xml:space="preserve">Jag skall be att få yrka bifall till utskottets förslag. Med den ställning jag för min personliga del intager till frågor sådana som denna, behöver jag icke försäkra för kammaren, att det ingalunda finnes någon ovillighet från min sida mot att </w:t>
      </w:r>
      <w:r>
        <w:rPr>
          <w:b/>
        </w:rPr>
        <w:t>kvinnor¹</w:t>
      </w:r>
      <w:r>
        <w:rPr>
          <w:b w:val="0"/>
        </w:rPr>
        <w:t xml:space="preserve"> skulle få innehava dessa befattningar. Jag tror också, att det var ganska stora sympatier i allmänhet inom utskottet för motionen, men att vi stannade vid det förslag som här föreligger, det beror helt och hållet på formella skäl, som herrarna återfinna i utlåtandet. Saken är i olika sammanhang föremål för Kungl. Maj:ts prövning, och vi tyckte då det var olämpligt blanda oss i detta. Jag får därför, herr vice talman, yrka bifall till utskottets förslag sådant det nu föreligger.</w:t>
      </w:r>
    </w:p>
    <w:p>
      <w:pPr>
        <w:pStyle w:val="Heading2"/>
      </w:pPr>
      <w:r>
        <w:t>3. Herman Rogberg (Första kammarens nationella parti, man)</w:t>
      </w:r>
    </w:p>
    <w:p>
      <w:r>
        <w:rPr>
          <w:b w:val="0"/>
        </w:rPr>
        <w:t>Då jag i utskottet deltagit i behandlingen av detta ärende. har jag ansett mig kunna ansluta mig till reservationen, ehuru detta av en tillfällighet icke blivit antecknat. De formella skäl, som i betänkandet upptagits</w:t>
        <w:br/>
        <w:br/>
        <w:t>och vilka föranlett utskottet att ställa sig avvisande, vill jag icke draga fram, de äro icke av större betydelse, och jag vill ej påstå, att själva frågan är av så stor betydelse, men låt vara att frågan, såsom den förste talaren också framhöll, är Jämförelsevis ringa. Men mig förefaller det vara ganska onödigt, att i ären-</w:t>
        <w:br/>
        <w:br/>
        <w:t xml:space="preserve">et, när en </w:t>
      </w:r>
      <w:r>
        <w:rPr>
          <w:b/>
        </w:rPr>
        <w:t>kvinna¹</w:t>
      </w:r>
      <w:r>
        <w:rPr>
          <w:b w:val="0"/>
        </w:rPr>
        <w:t xml:space="preserve"> väljes till en klockarbefattning, </w:t>
      </w:r>
      <w:r>
        <w:rPr>
          <w:b/>
        </w:rPr>
        <w:t>kvinnan¹</w:t>
      </w:r>
      <w:r>
        <w:rPr>
          <w:b w:val="0"/>
        </w:rPr>
        <w:t xml:space="preserve"> skall behöva gå dispensvägen till Kungl. Maj:t. Ansökningen blir ju där i de flesta fall bifallen. Vad tjänar omgången till? Denna sak är så pass ringa och har så ringa sammanhang med övriga frågor angående </w:t>
      </w:r>
      <w:r>
        <w:rPr>
          <w:b/>
        </w:rPr>
        <w:t>kvinnas¹</w:t>
      </w:r>
      <w:r>
        <w:rPr>
          <w:b w:val="0"/>
        </w:rPr>
        <w:t xml:space="preserve"> tillträde till prästerliga tjänster, att kammaren enligt min mening utan tvekan bör kunna bifalla reservationen, till vilken jag yrkar bifall.</w:t>
      </w:r>
    </w:p>
    <w:p>
      <w:pPr>
        <w:pStyle w:val="Heading2"/>
      </w:pPr>
      <w:r>
        <w:t>4. Carl Lindhagen (–, man)</w:t>
      </w:r>
    </w:p>
    <w:p>
      <w:r>
        <w:rPr>
          <w:b w:val="0"/>
        </w:rPr>
        <w:t>När jag såg detta betänkande, kom det för mig, hurn långsamt utvecklingen i i själva verket går. Är 1910 beslöt riksdagen på motion av mig en skrivelse just i denna fråga. Jag var stolt och glad över detta beslut, därför att det fattats i kamp mot biskop Billing, som satt till alla klutar, för att motionen skulle avslås. Nu har ärendet legat i 16 år, och fortfarande säger utskottet, att det är beroende på utredning, och därför kan man icke skriva någonting. Jag tycker verkligen, att när utredning 1 denna lilla fråga pågått 1 16 år, är tiden mogen för riksdagen att på nytt påminna Kungl. Maj:t, att han icke glömmer bort denna lilla sak, och därför förenar jag mig med reservanterna.</w:t>
      </w:r>
    </w:p>
    <w:p>
      <w:pPr>
        <w:pStyle w:val="Heading2"/>
      </w:pPr>
      <w:r>
        <w:t>5. Kerstin Hesselgren (Folkpartiet, woman)</w:t>
      </w:r>
    </w:p>
    <w:p>
      <w:r>
        <w:rPr>
          <w:b w:val="0"/>
        </w:rPr>
        <w:t>Jag ber att få yrka bifall till reservationen.</w:t>
        <w:br/>
        <w:br/>
        <w:t xml:space="preserve">När jag först började intressera mig för socialpolitiken, ansåg jag det såsom något oerhört, att Robert Owen under 13 år fått i engelska parlamentet kämpa för sina barnalagar. Då jag här om dagen höll en föreläsning om denna sak, sade jag att det förvånade mig inte längre ett enda dugg, med den erfarenhet jag nu hade av riksdagsarbetet och av den tid det där kan taga för även så enkla frågor som denna att komma fram till någon lösning. Även om nu herrarna i känsla för denna tradition tycka, att saken gärna kan fortsätta att utredas så borde hänsyn till allt det besvär och den kostnad, som det förorsakar Kungl. Maj:t, kunna inverka. Under de sista 10 åren 1916 till 1925 ha inte mindre än 157 ansökningar av detta slag behandlats av Kungl. Maj:t. och Kungl. Maj:t har godkänt dem alla, så när som på 5; således ett ganska betydande arbete för Kungl. Maj:t, och det i en sak som jag tror alla människor äro på det klara med att det är rimligt och riktigt, att den beviljas. Det torde ej finnas något verkligt skäl, att särställa dessa tjänster, i synnerhet då riksdagen redan tagit ett så stort steg som att låta </w:t>
      </w:r>
      <w:r>
        <w:rPr>
          <w:b/>
        </w:rPr>
        <w:t>kvinnorna¹</w:t>
      </w:r>
      <w:r>
        <w:rPr>
          <w:b w:val="0"/>
        </w:rPr>
        <w:t xml:space="preserve"> i allmänhet få söka statstjänster. Jag skall därför, herr vice talman, be att få yrka bifall till reservationen.</w:t>
      </w:r>
    </w:p>
    <w:p>
      <w:pPr>
        <w:pStyle w:val="Heading2"/>
      </w:pPr>
      <w:r>
        <w:t>6. Ivan Pauli (Socialdemokraterna, man)</w:t>
      </w:r>
    </w:p>
    <w:p>
      <w:r>
        <w:rPr>
          <w:b w:val="0"/>
        </w:rPr>
        <w:t xml:space="preserve">Jag är väsentligen förekommen av </w:t>
      </w:r>
      <w:r>
        <w:rPr>
          <w:b/>
        </w:rPr>
        <w:t>fröken²</w:t>
      </w:r>
      <w:r>
        <w:rPr>
          <w:b w:val="0"/>
        </w:rPr>
        <w:t xml:space="preserve"> Hesselgren. Men jag skall tillåta mig att liksom </w:t>
      </w:r>
      <w:r>
        <w:rPr>
          <w:b/>
        </w:rPr>
        <w:t>hon²</w:t>
      </w:r>
      <w:r>
        <w:rPr>
          <w:b w:val="0"/>
        </w:rPr>
        <w:t xml:space="preserve"> framhålla, att kammaren gärna kan taga hänsyn till Kungl. Maj:t. Det har påpekats av utskottets ärade ordförande, att Kungl. Maj:t har sin uppmärksamhet fäst på denna fråga. Det är ju gott och väl, men varför skall Kungl. Maj:t behöva ha sin uppmärksamhet fäst på alla dessa dispensansökningar, när de i nästan vartenda fall beviljas av Kungl. Maj:t? Det förefaller mig vara »missbrukad regerimgskraft», om jag så får säga, att på detta sätt vidhålla en anordning. som är fullkomligt onödig samt förorsakar tidsspillan och besvär. När man ser, att majoriteten av här i statistiken nämnda </w:t>
      </w:r>
      <w:r>
        <w:rPr>
          <w:b/>
        </w:rPr>
        <w:t>kvinnliga¹</w:t>
      </w:r>
      <w:r>
        <w:rPr>
          <w:b w:val="0"/>
        </w:rPr>
        <w:t xml:space="preserve"> befattningshavare erhållit klockareoch organistbefattning genom dispens, förefaller det mig vara ett utslag av vanligt sunt förnuft, om riksdagen här toge sig för att bifalla reservationen, även om det skulle kunna riktas en och annan formell invändning där-</w:t>
        <w:br/>
        <w:br/>
        <w:t xml:space="preserve">emot med hänsyn till, att saken på ett eller annat sätt är beroende på utred- Om </w:t>
      </w:r>
      <w:r>
        <w:rPr>
          <w:b/>
        </w:rPr>
        <w:t>kvinnas¹</w:t>
      </w:r>
      <w:r>
        <w:rPr>
          <w:b w:val="0"/>
        </w:rPr>
        <w:t xml:space="preserve"> ning. Liksom en föregående ärad talare tror jag, att denna fråga mycket bekorighet till väl kan tagas ut ur utredningssammanhanget, och då den förefaller mig ligga befattning. så enkelt till, att kammaren utan betänklighet borde kunna gå med på den (Forts.)</w:t>
        <w:br/>
        <w:br/>
        <w:t>omedelbart, ber jag att få tillstyrka bifall till reservationen.</w:t>
        <w:br/>
        <w:br/>
        <w:t>Efter det överläggningen ansetts härmer slutad, gjorde herr andre vice talmannen jämlikt de yrkanden, som därunder framkommit, propositioner, först på bifall till vad utskottet i det nu föredragna utlåtandet hemställt samt vidare på bifall till den i ämnet väckta motionen; och förklarade herr andre vice talmannen, sedan han upprepat propositionen på bifall till utskottets hemställan, sig finna denna proposition vara med övervägande ja besvarad.</w:t>
        <w:br/>
        <w:br/>
        <w:t>Är gäldbunden man död, och haver någon försträckt penningar, eller varor, till hans begravning; det skall först gäldas, sedan det gods avskilt är, som</w:t>
        <w:br/>
        <w:br/>
        <w:t>gjord är sedan läkarelön, läkedom och föda under den dödas sista sjukdom, deras arvode, som honom däri skött hava, så ock borgenärs kostnad för gäldenärens försättande i konkurs, betjänters och tjänstehjons lön för sista året, annan arbetares dagspenning eller avlöning, den där ej stått inne längre än sex månader efter förfallodagen, samt sådan begravningshjälp eller för de tre sista månaderna upplupen sjukhjälp eller livränta, som det enligt lag angående ersättning för skada till följd av olycksfall i arbete åligger gäldnären att utgiva. Vad nu är stadgat om förmånsrätt för arbetares avlöning äge ock tilllämpning 1 avseende å skadestånd, som i händelse av obehörigt avskedande eller arbetsavtals hävande må tillkomma arbetaren i stället för avlöning, som skulle med förmånsrätt utgått. Innestår hos arbetsgivare viss del av arbetares lön till säkerhet för arbetarens fullgörande av sina skyldigheter, äge arbetaren för sålunda innestående lön enahanda förmånsrält som nu angående arbetares avlöning är sagd, evad fordringen stått inne längre eller kortare tid. Därefter — — — — — Sägs.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501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