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521</w:t>
      </w:r>
    </w:p>
    <w:p>
      <w:r>
        <w:rPr>
          <w:b/>
        </w:rPr>
        <w:t xml:space="preserve">Datum: </w:t>
      </w:r>
      <w:r>
        <w:t>1926-06-01</w:t>
      </w:r>
    </w:p>
    <w:p>
      <w:r>
        <w:rPr>
          <w:b/>
        </w:rPr>
        <w:t xml:space="preserve">Kammare: </w:t>
      </w:r>
      <w:r>
        <w:t>Första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Theodor Borell (Högerns riksdagsgrupp, man)</w:t>
      </w:r>
    </w:p>
    <w:p>
      <w:r>
        <w:rPr>
          <w:b w:val="0"/>
        </w:rPr>
        <w:t>Herr greve och talman, mina herrar! Som herrarna finna av det föreliggande utskottsbetänkandet, tillhör jag dem bland bevillningsut-</w:t>
        <w:br/>
        <w:br/>
        <w:t>skottets ledamöter, som i en vid betänkandet fogad reservation glvit uttryck åt den meningen, att skattesänkningarna bort avvägas så, att procenttalet på grundbeloppet, varefter inkomstoch förmögenhetsskatten beräknas, borde sättas lägre, än vad utskottsmajoriteten föreslår, eller bestämmas tilltalet 155. Då herr statsrådet och chefen för finansdepartementet i årets statsverksproposition var inne på frågan om eventuell skattenedsättning, utgick han ifrån, att sådana nedsättningar borde anordnas så, att något större lättnad bereddes åt den indirekta beskattningen än åt den direkta, och han grundade denna sin uppfattning därpå, att man kunde utgå ifrån, att de indirekta skatterna på hårdare sätt trycka de mindre inkomsttagarna än de ekonomiskt mera bärkraftiga och att det kan sättas i fråga, huruvida detta större tryck i tillräcklig mån kompenseras av inkomstskattens progressivitet. Finansministern förklarade, att han i någon mån sökt stöd för denna uppfattning i en utredning, som verkställts angående skatternas tryck i olika sociala skikt och inkomstläger. Vad beträffar denna utredning, såvitt den avser den fördyring av levnadskostnaderna, som åstadkommes av tullar och acciser, har densamma verkställts av socialstyrelsen i samråd med finansdepartementet. I den skrivelse, varmed socialstyrelsen överlämnat sin utredning till finansdepartementet, framhåller socialstyrelsen själv, att det siffermaterial, som ligger till grund för utredningen, varit ofullständigt och bristfälligt och att även beräkningsmetoderna lida av vissa svagheter. Även om man sålunda enligt socialstyrelsens mening 1 stort sett kan godtaga den bild, som blivit resultatet av utredningen, måste man dock säga sig, att rent siffermässigt sett den gjorda utredningen är behäftad med åtskilliga bristfälligheter och således i viss mån otillförlitlig.</w:t>
        <w:br/>
        <w:br/>
        <w:t>Vad beträffar utredningen om den direkta beskattningens tryck, lider denna av den svagheten, att man tagit hänsyn allenast till den egentliga inkomstskatten, men däremot icke fäst sig vid den del av skatten, som utgår på den i deklarerad inkomst ingående förmögenheten och icke heller tagit hänsyn till övriga direkta skatter, såsom arvsoch stämpelskatter m. m. Detta gör, att även denna del av utredningen icke är fullt rättvisande. Det är uppenbart, att de direkta skatterna i många fall trycka hårdare, än vad den verkställda utredningen ger vid handen. Finansministern säger också i statsverkspropositionen, att den gjorda utredningen icke kan läggas till grund för något mera allmängiltigt bedömande av den föreliggande frågan.</w:t>
        <w:br/>
        <w:br/>
        <w:t>Nu må det emellertid vara hur som helst med ifrågavarande utredningar. Enligt min mening är det icke den omständigheten, att den direkta eller indirekta beskattningen trycker hårdare eller lättare vid olika inkomster, som skall vara det huvudsakligt avgörande, när det gäller att bedöma. huruvida en möjlig skattenedsättning bör fördelas mellan den direkta eller indirekta beskattningen. Denna fråga måste man enligt min mening bedöma efter helt andra synpunkter. Det gäller att taga i övervägande, huruvida med hänsyn till det ekonomiska livet i dess stora organiska sammanhang man för det stora hela gör större nytta genom att genomföra en kraftigare nedsättning av den direkta beskattningen än av den indirekta. Det gäller således att se till, huru man bör förfara för att åstadkomma, att vårt näringsliv, vår industri. vår handel och vårt jordbruk få det stöd och den uppmuntran, som de behöva för att kunna bedriva en inkomstbringande och utvecklingsmöjlig verksamhet. Det har många gånger framhållits i riksdagen, att vår skattelagstiftning, sådan den fastställts genom våra nya skattelagar och såsom den tillämpas efter de skärpningar i dessa skattelagar, som tid efter annan kommit till stånd, är en av de faktorer. som verksamt bidragit till, att vårt näringsliv fått alltmera svårt att hålla sig uppe 1 konkurrensen med utlandet.</w:t>
        <w:br/>
        <w:br/>
        <w:t>Dessa påpekanden ha, såvitt jag förstår, alltför litet hittills uppmärksammats av de svenska statsmakterna. Man kan ju nu peka på. att även utanför</w:t>
        <w:br/>
        <w:br/>
        <w:t xml:space="preserve">riksdagen i växande omfattning höjts röster, som betonat vikten av de synpunkink: och ter, som sålunda i riksdagen framhållits. Den ena efter den andra av närimgsförmögenhets. livets män ha trätt fram och betygat, att den svenska skattelagstiltningen | skatten utgör en tung hämmande börda för utvecklingen av det svenska näringslivet för år 1926. och framhållit nödvändigheten av att vid skattefrågors avgörande mera hän- (Forts.) syn tages till näringslivets behov, om det verkligen skall bli möjligt att i vårt land behålla ett näringsliv av sädan styrka och utvecklingsmöjlighet, att vårt folks levnadsstandard kan bibehållas vid nuvarande nivå. Sanningen av dessa ord har också bekräftats av påtagliga förhållanden. Det är nog ingen av herrarna obekant, att inom åtskilliga av våra större industrier på allvar tagits upp till dryftande frågan, huruvida icke verksamheten till större eller mindre del måste överflyttas till annat land än Sverige för ernående av bättre ekonomiska förutsättningar för verksamheten, och man har trott, att dessa överväganden resulterat 1 definitivt beslut beträffande en av våra större och mera utvecklingsbara industrier. Dess bättre ser det för närvarande icke ut så, men säkert är, att ett villkor för näringslivets framtida gynnsamma utveckling är, att skattelagstiftningen tar mera hänsyn, än vad som skett, till näringslivets behov. De anmärkningar, som i detta hänseende framkommit, gälla naturligtvis närmast aktiebolag, då det är under den formen, som det stora näringslivet bedrives. Och särskilt har påpekats den ogynnsamma ställning, vari aktiebolag i beskattningshänseende, tack vare hög progression, dubbelbeskattning och i synnerhet till följd av de regler, som tillämpas beträffande </w:t>
      </w:r>
      <w:r>
        <w:rPr>
          <w:b/>
        </w:rPr>
        <w:t>dotterbolagens²</w:t>
      </w:r>
      <w:r>
        <w:rPr>
          <w:b w:val="0"/>
        </w:rPr>
        <w:t xml:space="preserve"> beskattning, befinna sig i förhållande till motsvarande företag i utlandet, vilket naturligtvis handikapar det svenska näringslivet i dess konkurrens med det utländska.</w:t>
        <w:br/>
        <w:br/>
        <w:t>Det är enligt min mening vida mera viktigt både för det allmänna och för de enskilda, att staten genom sina skattelagstiftningsåtgärder tager fasta på dessa synpunkter och befordrar näringslivets möjligheter att ge arbete och bröd åt landets invånare och att betala sådana löner, att den nuvarande levnadsstandarden kan hållas uppe och möjligen förbättras. Detta är enligt min mening vida viktigare än att den indirekta skatten nedsättes med något större eller mindre belopp beträffande vissa konsumtionsartiklar.</w:t>
        <w:br/>
        <w:br/>
        <w:t>Jag har härmed velat klargöra de skiljaktiga synpunkter. som vid avgörandet av denna fråga gjort sig gällande inom bevillningsutskottet. Enligt min mening äro de synpunkter, som jag framfört, obestridligt riktiga, och ett följande av dessa synpunkter medför på längre sikt en större nytta för hela vårt land och för alla dess samhällslager, icke minst för arbetarna. än en sänkning av några ören å de redan billiga artiklarna kaffe och socker. Jag skall naturligtvis icke ingå på lämpligheten av att sänka kaffetullen. Den saken har Ju redan vid denna riksdag beslutits, men jag vill såsom allmänt omdöme uttala, vad denna tullnedsättning beträffar, att den är desto mindre välbetänkt, som ingen människa kan med bestämdhet avgöra, huruvida någon som helst lättnad därigenom beredes någon konsument i detta land eller överhuvud taget något svenskt intresse, utan lika sannolikt är. att verkningarna av tuilsänkningen komma utländska producenter eller mellanhänder till godo.</w:t>
        <w:br/>
        <w:br/>
        <w:t>Jag har i frågans nuvarande läge icke något yrkande att framställa, men jag har så mycket hellre, till den kraft och verkan det hava kan. velat framhålla dessa synpunkter, som vid nästa riksdag med all sannolikhet komma att framläggas till riksdagens avgörande synnerligen vittomfattande och ingripande skattefrågor, och det vore att hoppas, att dessa synpunkter då vunne mera beaktande, än vad de hittills gjort inom den svenska riksdagen.</w:t>
      </w:r>
    </w:p>
    <w:p>
      <w:pPr>
        <w:pStyle w:val="Heading2"/>
      </w:pPr>
      <w:r>
        <w:t>2. Edvard Björnsson (Socialdemokraterna, man)</w:t>
      </w:r>
    </w:p>
    <w:p>
      <w:r>
        <w:rPr>
          <w:b w:val="0"/>
        </w:rPr>
        <w:t>Den föregående ärade talarens anförande ger mig anledning att säga ett par ord, ehuru det icke utmynnade i något annat yrkande, än</w:t>
        <w:br/>
        <w:br/>
        <w:t>att vi skulle ansluta oss till vad bevillningsutskottet föreslagit. Han gjorde till en början gällande, att den utredning, från vilken finansministern till någon del hämtat stöd vid bestämmandet av fördelningen mellan direkta och indirekta skatter, lider av vissa brister, och det är naturligtvis klart, att så är fallet. Men då den föregående ärade talaren nämnde vissa sådana brister, som det är mycket lätt att peka på, så tror jag, att det är lämpligt, att peka på även andra.</w:t>
        <w:br/>
        <w:br/>
        <w:t>Det kan ju mycket lätt konstateras, att den utredning, som det är fråga om, börjar med ett inkomstläge, om jag får använda det ordet, av 3,000 kronor, under det att ett mycket stort antal av vårt lands medborgare befinner sig på ett vida lägre inkomststreck, och att just för dessa lägre inkomster den indirekta beskattningen självfallet kommer att verka mycket tyngre än för en inkomst av 3,000 kronor. Den brist, som jag sålunda velat framhålla, pekar i rakt motsatt riktning mot de brister, som den föregående ärade talaren uppehöll sig vid.</w:t>
        <w:br/>
        <w:br/>
        <w:t>Sedan ägnade den ärade talaren sig åt vissa betraktelser angående skattetrycket och inflytande av skatten på vårt näringsliv. Jag vill icke bestrida, att det kan ligga någon sanning i vad han sagt, men jag tror icke, att man får draga alltför stora slutsatser av hot om flyttning av en industri från ett land till ett annat. I den mån, som storindustrien blir allt mer och mer internationaliserad, tror jag, att man har att räkna med ideliga försök att på den vägen bringa ned skatterna till ett minimum. Det är ju mycket begripligt, att ett företag av den typ, som herr Borell tycktes närmast tänka på, söker förlägga beskattningsorten till det land, där skatterna äro lägst. Emellertid torde det vara en massa andra omständigheter, som spela en vida större roll vid valet av förläggningsplats för en industri än just beskattningsförhållanden.</w:t>
        <w:br/>
        <w:br/>
        <w:t xml:space="preserve">Men vad jag särskilt vill anmärka på är, att dessa betraktelser ha mycket litet sammanhang med den fråga, som det i dag gäller att avgöra. Ty man kan inte göra gällande, att en nedsättning av procentsatsen för den direkta skatten, från låt oss säga 160 till 155 enheter, betyder något nämnvärt i fråga om de förhållanden, som den föregående ärade talaren påpekade, utan det är fastmer grunderna för själva vår taxering, som det där är fråga om. Det föreligger ju icke här i detta sammanhang den ringaste anledning att sysselsätta sig med själva grunderna för </w:t>
      </w:r>
      <w:r>
        <w:rPr>
          <w:b/>
        </w:rPr>
        <w:t>dotterbolagens²</w:t>
      </w:r>
      <w:r>
        <w:rPr>
          <w:b w:val="0"/>
        </w:rPr>
        <w:t xml:space="preserve"> beskattning och dylikt. Naturligtvis kan det ju alltid vara lämpligt med en försenad remissdebatt så här, när beslutet skall fattas, men jag tror icke, att den har någon egentlig betydelse för avgörandet i fråga om så besvärliga problem som beskattning av bolag och </w:t>
      </w:r>
      <w:r>
        <w:rPr>
          <w:b/>
        </w:rPr>
        <w:t>dotterbolag²</w:t>
      </w:r>
      <w:r>
        <w:rPr>
          <w:b w:val="0"/>
        </w:rPr>
        <w:t>.</w:t>
        <w:br/>
        <w:br/>
        <w:t>Jag vill särskilt erinra, att den sänkning av den indirekta skatten, som bevillningsutskottet här föreslagit, gäller ett sådant näringsmedel som socker. Detta är tills vidare beskattat genom tull och accis med 24 öre per kilogram, under det importvärdet i nuvarande stund uppgår till 30 öre per kilogram. Detta är naturligtvis en kvarleva från den tid, då man betraktade sockret som en lyx eller som ett gift. Det tillverkas under fiskalisk kontroll liksom vårt brännvin, och det torde vara klart, att detta är ett missförhållande, som man så snart som möjligt bör söka komma bort ifrån. Jag tror också, att det i viss mån har betydelse för vårt näringsliv. I den mån, som detta näringsmedel kan bliva billigare och konsumtionen därigenom ökas, beredas bättre avsättningsmöjligheter för en viss del av vårt jordbruk, vilket, enligt vad vi hört i denna kammare under denna riksdag, tillmätes en utomordentlig stor ekonomisk betydelse för stora och viktiga delar av vårt land.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521</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