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1779</w:t>
      </w:r>
    </w:p>
    <w:p>
      <w:r>
        <w:rPr>
          <w:b/>
        </w:rPr>
        <w:t xml:space="preserve">Datum: </w:t>
      </w:r>
      <w:r>
        <w:t>1928-04-27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Robert Samuelsson (Sveriges kommunistiska parti, man)</w:t>
      </w:r>
    </w:p>
    <w:p>
      <w:r>
        <w:rPr>
          <w:b w:val="0"/>
        </w:rPr>
        <w:t xml:space="preserve">Herr talman! I anledning av beslutet vid punkt 15, där man beviljade tilläggspension till en </w:t>
      </w:r>
      <w:r>
        <w:rPr>
          <w:b/>
        </w:rPr>
        <w:t>änka²</w:t>
      </w:r>
      <w:r>
        <w:rPr>
          <w:b w:val="0"/>
        </w:rPr>
        <w:t xml:space="preserve">, som endast var 22 år gammal, så anser jag mig vid denna punkt även ha anledning att yrka bifall till motionen. Denna </w:t>
      </w:r>
      <w:r>
        <w:rPr>
          <w:b/>
        </w:rPr>
        <w:t>änka²</w:t>
      </w:r>
      <w:r>
        <w:rPr>
          <w:b w:val="0"/>
        </w:rPr>
        <w:t xml:space="preserve"> är icke mer än 48 år, och det har varit anledningen till, att utskottet gått på avslag. Men till detta kan man lägga, att </w:t>
      </w:r>
      <w:r>
        <w:rPr>
          <w:b/>
        </w:rPr>
        <w:t>änkan²</w:t>
      </w:r>
      <w:r>
        <w:rPr>
          <w:b w:val="0"/>
        </w:rPr>
        <w:t xml:space="preserve"> är fullkomligt obemedlad. Det finnes intyg därom. Det har också påpekats i motionen, vilket jag förmodar, att utskottet icke heller kan komma ifrån, att </w:t>
      </w:r>
      <w:r>
        <w:rPr>
          <w:b/>
        </w:rPr>
        <w:t>hon²</w:t>
      </w:r>
      <w:r>
        <w:rPr>
          <w:b w:val="0"/>
        </w:rPr>
        <w:t xml:space="preserve"> dessutom under hela tiden haft ytterst svårt att draga sig fram. </w:t>
      </w:r>
      <w:r>
        <w:rPr>
          <w:b/>
        </w:rPr>
        <w:t>Hon²</w:t>
      </w:r>
      <w:r>
        <w:rPr>
          <w:b w:val="0"/>
        </w:rPr>
        <w:t xml:space="preserve"> har haft ekonomiska bekymmer och fått försörja tre barn, och då förstår man, att det ej varit lätt för </w:t>
      </w:r>
      <w:r>
        <w:rPr>
          <w:b/>
        </w:rPr>
        <w:t>henne²</w:t>
      </w:r>
      <w:r>
        <w:rPr>
          <w:b w:val="0"/>
        </w:rPr>
        <w:t xml:space="preserve"> att draga sig fram utan hjälp från statens sida. </w:t>
      </w:r>
      <w:r>
        <w:rPr>
          <w:b/>
        </w:rPr>
        <w:t>Hon²</w:t>
      </w:r>
      <w:r>
        <w:rPr>
          <w:b w:val="0"/>
        </w:rPr>
        <w:t xml:space="preserve"> har under dessa år fått draga sig fram genom hjälparbete i hemmen hos mera bemedlade. Jag anser, att förhållandet här är sådant, att om </w:t>
      </w:r>
      <w:r>
        <w:rPr>
          <w:b/>
        </w:rPr>
        <w:t>hon²</w:t>
      </w:r>
      <w:r>
        <w:rPr>
          <w:b w:val="0"/>
        </w:rPr>
        <w:t xml:space="preserve"> hade nått</w:t>
        <w:br/>
        <w:br/>
        <w:t xml:space="preserve">vederbörlig ålder, så kunde riksdagen icke undgå att bevilja </w:t>
      </w:r>
      <w:r>
        <w:rPr>
          <w:b/>
        </w:rPr>
        <w:t>henne²</w:t>
      </w:r>
      <w:r>
        <w:rPr>
          <w:b w:val="0"/>
        </w:rPr>
        <w:t xml:space="preserve"> understöd efter samma normer, som tillämpas i fråga om änkor efter andra extra ordinarie befattningshavare. Det fattas ett par år i den åldersgräns, som utskottet brukar beräkna, men på grund av de förhållanden, i vilka </w:t>
      </w:r>
      <w:r>
        <w:rPr>
          <w:b/>
        </w:rPr>
        <w:t>änkan²</w:t>
      </w:r>
      <w:r>
        <w:rPr>
          <w:b w:val="0"/>
        </w:rPr>
        <w:t xml:space="preserve"> befinner sig, är det många skäl, som tala för, att riksdagen beviljar understöd såsom till andra änkor efter extra ordinarie befattningshavare. Då nu riksdagen varit så generös, då det gällde den </w:t>
      </w:r>
      <w:r>
        <w:rPr>
          <w:b/>
        </w:rPr>
        <w:t>änka²</w:t>
      </w:r>
      <w:r>
        <w:rPr>
          <w:b w:val="0"/>
        </w:rPr>
        <w:t>, om vilken det var fråga vid punkt 15, tala alla skäl för, att riksdagen beviljar understöd även här. ' Nu är det klart, att frågan bör realbehandlas, så att man kommer till den summa, som utskottet anser riktig, och det gör, att jag, herr talman, hemställer, att ärendet måtte återremitteras till utskottet.</w:t>
      </w:r>
    </w:p>
    <w:p>
      <w:pPr>
        <w:pStyle w:val="Heading2"/>
      </w:pPr>
      <w:r>
        <w:t>2. Lars Borggren (Socialdemokraterna, man)</w:t>
      </w:r>
    </w:p>
    <w:p>
      <w:r>
        <w:rPr>
          <w:b w:val="0"/>
        </w:rPr>
        <w:t xml:space="preserve">Herr talman! När utskottet behandlade denna fråga, så har utskottet avstyrkt motionen, ej på grund av tioårsgränsen, utan på grund av den jämförelsevis obetydliga åldern, och med hänsyn till, att </w:t>
      </w:r>
      <w:r>
        <w:rPr>
          <w:b/>
        </w:rPr>
        <w:t>änkan²</w:t>
      </w:r>
      <w:r>
        <w:rPr>
          <w:b w:val="0"/>
        </w:rPr>
        <w:t xml:space="preserve"> är frisk och kry. Då vi diskuterade första punkten, lades den synpunkten på dessa </w:t>
      </w:r>
      <w:r>
        <w:rPr>
          <w:b/>
        </w:rPr>
        <w:t>änkepensionsfrågor²</w:t>
      </w:r>
      <w:r>
        <w:rPr>
          <w:b w:val="0"/>
        </w:rPr>
        <w:t>, att de hädanefter skulle prövas på annat sätt än hittills.</w:t>
        <w:br/>
        <w:br/>
        <w:t xml:space="preserve">Jag undrar, om man ej kan avslå motionen och </w:t>
      </w:r>
      <w:r>
        <w:rPr>
          <w:b/>
        </w:rPr>
        <w:t>änkan²</w:t>
      </w:r>
      <w:r>
        <w:rPr>
          <w:b w:val="0"/>
        </w:rPr>
        <w:t xml:space="preserve"> sedan kan hos Kungl. Maj:t anhålla om pension om ett eller två år, vilket </w:t>
      </w:r>
      <w:r>
        <w:rPr>
          <w:b/>
        </w:rPr>
        <w:t>hon²</w:t>
      </w:r>
      <w:r>
        <w:rPr>
          <w:b w:val="0"/>
        </w:rPr>
        <w:t xml:space="preserve"> helst vill. Då kommer saken att prövas efter den utredning, som då kommer till stånd.</w:t>
        <w:br/>
        <w:br/>
        <w:t>På grund av dessa skäl ber jag att få yrka avslag på motionen och bifall till utskottets hemställan.</w:t>
      </w:r>
    </w:p>
    <w:p>
      <w:pPr>
        <w:pStyle w:val="Heading2"/>
      </w:pPr>
      <w:r>
        <w:t>3. Robert Samuelsson (Sveriges kommunistiska parti, man)</w:t>
      </w:r>
    </w:p>
    <w:p>
      <w:r>
        <w:rPr>
          <w:b w:val="0"/>
        </w:rPr>
        <w:t xml:space="preserve">Herr talman! Vad blir följden av ett uppskov? Jo, att </w:t>
      </w:r>
      <w:r>
        <w:rPr>
          <w:b/>
        </w:rPr>
        <w:t>hon²</w:t>
      </w:r>
      <w:r>
        <w:rPr>
          <w:b w:val="0"/>
        </w:rPr>
        <w:t xml:space="preserve"> blir utan understöd ett par år, och att staten kanske gör en vinst på två gånger 384 kronor. Men riksdagen kan ej komma ifrån, att </w:t>
      </w:r>
      <w:r>
        <w:rPr>
          <w:b/>
        </w:rPr>
        <w:t>hon²</w:t>
      </w:r>
      <w:r>
        <w:rPr>
          <w:b w:val="0"/>
        </w:rPr>
        <w:t xml:space="preserve"> har samma rätt till understöd som andra, åt vilka riksdagen beviljat understöd. Det är intet här, som talar för, att man skall avslå motionen, därför att </w:t>
      </w:r>
      <w:r>
        <w:rPr>
          <w:b/>
        </w:rPr>
        <w:t>hon²</w:t>
      </w:r>
      <w:r>
        <w:rPr>
          <w:b w:val="0"/>
        </w:rPr>
        <w:t xml:space="preserve"> är ett par år yngre, än riksdagen gått in för. Obemedlad är </w:t>
      </w:r>
      <w:r>
        <w:rPr>
          <w:b/>
        </w:rPr>
        <w:t>hon²</w:t>
      </w:r>
      <w:r>
        <w:rPr>
          <w:b w:val="0"/>
        </w:rPr>
        <w:t xml:space="preserve"> och mycket fattig, och då tala alla skäl för, att riksdagen nu beviljar </w:t>
      </w:r>
      <w:r>
        <w:rPr>
          <w:b/>
        </w:rPr>
        <w:t>henne²</w:t>
      </w:r>
      <w:r>
        <w:rPr>
          <w:b w:val="0"/>
        </w:rPr>
        <w:t xml:space="preserve"> understöd.</w:t>
        <w:br/>
        <w:br/>
        <w:t>Herr talman, jag vidhåller mitt yrkande om återremiss.</w:t>
        <w:br/>
        <w:br/>
        <w:t>Överlastar sig någon av starka drycker så, att av hans åtbörder eller orediga sinnesförfattning synbarligen kan märkas att han är drucken, och träffas han i sådant tillstånd å ställe, varom i 11 kap. 15 $ strafflagen förmäles, eller å annan plats där han lätteligen synes från sådant ställe, straffes, för fylleri, med böter från och med fem till och med tvåhundra kronor. Äro omständigheterna försvårande, vare straffet böter från och med tjugufem till och med femhundra kronor.</w:t>
        <w:br/>
        <w:br/>
        <w:t>Är vid utövning av verksamhet, så beskaffad att i händelse av bristande omsorg eller besinning fara lätteligen uppstår för människors liv eller hälsa, någon av starka drycker så påverkad, att han kan antagas ej äga nödigt herravälde över sina handlingar, straffes med böter från och med tjugufem till och med ettusen kronor. Äro omständigheterna försvårande, må böterna sättas till högst tvåtusen kronor eller ock till fängelse i högst tre månader dömas.</w:t>
        <w:br/>
        <w:br/>
        <w:t>Träffas någon av starka drycker överlastad å plats, som avses i 1 $, må han, där det finnes erforderligt, anhållas och förvaras i häkte till dess han åter blivit nykter.</w:t>
        <w:br/>
        <w:br/>
        <w:t>Påträffas starka drycker hos den, som anhålles efter ty i 4 $ sägs, skola de tagas i förvar och, där ansvar ådömes efter denna lag, dömas förbrutna, så framt ej särskilda omständigheter till annat föranleda. Det förbrutna skall säljas för kronans räkning eller ock förstöras enligt de närmare bestämmelser, som äro eller av Konungen varda meddelade.</w:t>
        <w:br/>
        <w:br/>
        <w:t>Böter, som ådömas enligt denna lag, tillfalla kronan. Saknas tillgång till</w:t>
        <w:br/>
        <w:br/>
        <w:t>böternas fulla gäldande, skola de förvandlas enligt allmänna $&amp;trafflagen.</w:t>
        <w:br/>
        <w:br/>
        <w:t>Överlastar sig någon av starka drycker så, att av hans åtbörder eller orediga sinnesförfattning synbarligen kan märkas att han är drycken, och träffas han 1 sådant tillstånd å ställe, varom i 11 kap. 15 8 strafflagen förmäles, eller å annan plats där han lätteligen synes från sådant ställe och ej äger giltig anledning uppehålla sig, straffes, för fylleri, med böter från och med fem till och med etthundra kronor. Äro omständigheterna försvårande, vare straffet böter från och med tjugufem till och med femhundra kronor.</w:t>
        <w:br/>
        <w:br/>
        <w:t>välde över sina handlingar, straffes med böter från och med tjugufem till och med ettusen kronor. Äro omständigheterna försvårande, må böterna sättas till högst tvåtusen kronor eller ock till fängelse i högst tre månader dömas; och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