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568</w:t>
      </w:r>
    </w:p>
    <w:p>
      <w:r>
        <w:rPr>
          <w:b/>
        </w:rPr>
        <w:t xml:space="preserve">Datum: </w:t>
      </w:r>
      <w:r>
        <w:t>1928-04-28</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Rickard Sandler (Socialdemokraterna, man)</w:t>
      </w:r>
    </w:p>
    <w:p>
      <w:r>
        <w:rPr>
          <w:b w:val="0"/>
        </w:rPr>
        <w:t>Först ett ord om den ändrade motiveringen.</w:t>
        <w:br/>
        <w:br/>
        <w:t>Jag har redan förut sagt, att jag icke skulle ha något att erinra, om man satte in en sådan punkt, givetvis under förutsättning att det övriga i bankoutskottets utlåtande finge stå kvar, såsom det står, och framför allt att klämmen finge bli den, bankoutskottet kommit till. Men, mina herrar, jag vill stryka under än en gång, att det finnes icke något behov av att på det sättet ändra utskottets motivering. Efter det från regeringsbänken deklarerade intresset för denna angelägenhet och då icke ett enda ord i bankoutskottets utlåtande utgör något som helst hinder för regeringen att upptaga denna angelägenhet till undersökning, om regeringen finner det lämpligt, kan jag icke medge, att det föreligger något behov att ändra den motivering, som bankoutskottet här har föreslagit.</w:t>
        <w:br/>
        <w:br/>
        <w:t xml:space="preserve">Vad skall den återremiss tjäna till, som föreslagits? Herrarna ha ju hört vilka uppfattningar bankoutskottets medlemmar ha i denna fråga. Det bör icke få bli ett slagord, det som ett par gånger fällts i debatten, att det ej skett någon realprövning i mer än det första fallet. Jo, mina herrar, alla fallen ha varit föremål för samma realprövning. Bankoutskottets majoritet har den uppfattningen beträffande alla dessa fall, att då tiden från statstjänstens lämnande är så lång, föreligger icke det sammanhang mellan statstjänsten och de efterlevandes förhållanden, att det motiverar en </w:t>
      </w:r>
      <w:r>
        <w:rPr>
          <w:b/>
        </w:rPr>
        <w:t>änkepension²</w:t>
      </w:r>
      <w:r>
        <w:rPr>
          <w:b w:val="0"/>
        </w:rPr>
        <w:t>. Detta är efter mitt sätt att se en realprövning, och det blir icke mera realprövning, om herr Widell skulle lyckas åstadkomma några kompletterande synpunkter. Även herr Widell menade ju, att denna synpunkt om tiden var beaktansvärd, men. sade han, det kan tänkas några ytterligare synpunkter. Ja, jag kan vitsorda, att efter den mycket grundliga diskussion, som bankoutskottet redan haft i olika omgångar om dessa ärenden, kommer detta års bankoutskott förvisso icke att hitta någon av dessa kompletterande, av herr Widell antydda men icke angivna ytterligare synpunkter. Om Kungl. Maj:t kan komma med något förlösningens ord därvidlag, må det vara välkommet, men herrarna skola icke vänta, att bankoutskottet kommer med det ordet efter en återremiss, utan kammaren torde efter återremissen befinna sig i samma belägenhet som förut, nämligen att det finnes somliga, som yrka bifall och andra som yrka avslag till denna rad motioner, som gälla efterlevande till befattningshavare, vilka en längre tid varit skilda från statstjänst.</w:t>
        <w:br/>
        <w:br/>
        <w:t>Då det här säges, att om kammaren nu skulle bifalla bankoutskottets hemställan, bleve resultatet det, att hela motiveringen fölle bort, så att vi icke hade någon princip alls kvar, vill jag framhålla, att för dem, vilka betrakta bankoutskottets ordalag om de 10 åren som något, som man under inga förhållanden vill vara med om och skriva under, för dem kan det icke vara någon olycka, att denna motivering faller bort, vilket ger herrarna frihet att även ett annat år komma och försöka sin lycka som motionärer. För dem åter, som ha den uppfattningen, att man bör hålla på en viss tidsgräns, kommer nästa år att erbjudas samma tillfällen och möjligheter att hävda samma uppfattning som i år, ty även nästa år skall det väl finnas ett bankoutskott. som skall pröva dessa</w:t>
        <w:br/>
        <w:br/>
        <w:t>ärenden. Jag har därför så tillvida intet bekymmer för resultatet, om motiveringen faller bort, bara huvudresultatet blir, att inte riksdagen i år fattar ett sådant positivt beslut beträffande dessa pensionsärenden, som kanske kommer att binda en eventuellt kommande utredning. Jag får säga, att det för mig var en överraskning att från en ledamot av statsutskottet höra den meningen framställas, att det icke betyder något, om riksdagen skulle i två, tre, kanske 10 fall fatta beslut om dessa pensionsfrågor och sedan från regeringen få en utredning om vad man borde ha gjort i år.</w:t>
      </w:r>
    </w:p>
    <w:p>
      <w:pPr>
        <w:pStyle w:val="Heading2"/>
      </w:pPr>
      <w:r>
        <w:t>2. Carl Winberg (Kilbomspartiet, man)</w:t>
      </w:r>
    </w:p>
    <w:p>
      <w:r>
        <w:rPr>
          <w:b w:val="0"/>
        </w:rPr>
        <w:t>Jag ber, herr talman, att ännu en gång få konstatera vad jag sagt vid föregående tillfällen, att de små frågorna i riksdagen föranleda de längsta debatterna under det de stora frågorna gå ganska lättvindigt. Särskilt måste jag säga, att de, som åhört denna debatt utan att närmare känna till de politiska partiförhållandena i kammaren, måtte få en något underlig uppfattning om hur saken egentligen ligger till. Såvitt jag förstår, avgavs under debatten den mest talande motiveringen för en återremiss till utskottet av herr Lindley, då han nyss förklarade, att skälen i alla de föreliggande fallen varit lika starka, lika goda. Ja, men efter vilka principer har utskottet då handlat, när det har tagit ut en del fall och tillstyrkt dem? Har man månne praktiserat den icke okända metoden, som man skämtsamt velat pådyvla utskotten ibland, att man lottat därom, eller att en del, redan på förhand bestämda, avslås och en annan del bifallas. Det förefaller, som om det skulle ligga något däri, eftersom man säger, att motiveringarna varit lika starka i alla fall men man ändock bara tillstyrkt en del.</w:t>
        <w:br/>
        <w:br/>
        <w:t>Jag är av fullkomligt samma uppfattning som herr Lindley, att en slutlig lösning naturligtvis skulle vara, att man skulle söka få så betryggande folkpensionering, att man icke behövde laborera med sådana saker, men eftersom det lär dröja ganska många år, innan man kommer dithän, förefaller det icke vara så rysligt, åtminstone icke ifrån arbetarhåll, ifall riksdagen skulle bevilja små summor till änkor efter sådana befattningshavare, som det här är fråga om. Jag måste säga mig att det skulle vara intressant, om man, beträffande en del andra frågor, visade samma stora intresse att hålla igen i fråga om statens utgifter, som man här visat från arbetarhåll, då det gäller några fattiga befattningshavares änkor.</w:t>
        <w:br/>
        <w:br/>
        <w:t>Som frågan nu digger ber jag att få yrka bifall till herr Widells förslag.</w:t>
      </w:r>
    </w:p>
    <w:p>
      <w:pPr>
        <w:pStyle w:val="Heading2"/>
      </w:pPr>
      <w:r>
        <w:t>3. Alfred Petren (Socialdemokraterna, man)</w:t>
      </w:r>
    </w:p>
    <w:p>
      <w:r>
        <w:rPr>
          <w:b w:val="0"/>
        </w:rPr>
        <w:t>Herr talman! Till en början får jag lämna det meddelandet, att den under denna punkt avgivna reservationen, som ansluter sig till den av mig väckta motionen, har av andra kammaren blivit bifallen utan votering. Vid sådant förhållande må det tillåtas mig att för ett ögonblick taga kammarens uppmärksamhet i anspråk för att med några ord beröra skillnaden mellan Kungl. Maj:ts förslag, som tillstyrkts av utskottet, och min motion, vilken som nämnts blivit bifallen av andra kammaren.</w:t>
        <w:br/>
        <w:br/>
        <w:t xml:space="preserve">Skillnaden är den, att Kungl. Maj:t har föreslagit, att pensionsbeloppet skulle utgå med 384 kronor om året, under det att jag i min motion har yrkat på att denna </w:t>
      </w:r>
      <w:r>
        <w:rPr>
          <w:b/>
        </w:rPr>
        <w:t>änkepension²</w:t>
      </w:r>
      <w:r>
        <w:rPr>
          <w:b w:val="0"/>
        </w:rPr>
        <w:t xml:space="preserve"> måtte utgå med 600 kronor. Det av Kungl. Maj:t föreslagna beloppet har beräknats med hänsyn till storleken av det fasta arvode, som doktor Strömstedt hade såsom läkare vid centralfängelset å Härlanda. Sedan de nuvarande årsarvodena för läkare vid centralfängelserna blivit fastställda, ha emellertid dessa befattningshavare fått en väsentligt ökad arbetsbörda, i det att det blivit allt mer och mer vanligt, att de av domstolarna begärda undersökningarna angående häktades sinnesbeskaffenhet äga rum, icke på det fängelse, å vilket den häktade under rannsakningstiden förvarats, utan å centralfängelserna, enär å dessa funnits läkare med psykiatrisk skolning. Detta arbete har honorerats med ett särskilt belopp för varje sådan undersökning med däröver avgivet rättspsykiatriskt utlåtande. Jag kan icke finna annat än att det vore förenat med billighet och rättvisa om hänsyn bleve tagen även härtill vid bestämmandet av pensionsbeloppet åt doktor Strömstedts </w:t>
      </w:r>
      <w:r>
        <w:rPr>
          <w:b/>
        </w:rPr>
        <w:t>änka²</w:t>
      </w:r>
      <w:r>
        <w:rPr>
          <w:b w:val="0"/>
        </w:rPr>
        <w:t>.</w:t>
        <w:br/>
        <w:br/>
        <w:t>Som stöd för den uppfattningen, att det i motionen föreslagna pensionsbeloppet, 600 kronor, ingalunda är orimligt, vill jag till slut erinra om den även i motionen lämnade upplysningen, att det på grund av den ändrade ställning läkarna vid centralfängelserna, såsom jag nämnde, ha fått och med hänsyn till det ökade arbete, som nu åvilar dem, framkommit förslag angående dessa tjänsters uppförande på ordinarie stat. Det synes mig sålunda som om det funnits mycket goda skäl för det beslut, som andra kammaren fattat, och i förhoppning att första kammaren även skall fatta samma beslut, ber Jag, herr talman, att få yrka bifall till reservationen.</w:t>
      </w:r>
    </w:p>
    <w:p>
      <w:pPr>
        <w:pStyle w:val="Heading2"/>
      </w:pPr>
      <w:r>
        <w:t>4. Carl Svensson (Socialdemokraterna, man)</w:t>
      </w:r>
    </w:p>
    <w:p>
      <w:r>
        <w:rPr>
          <w:b w:val="0"/>
        </w:rPr>
        <w:t>Jag är ledsen, att jag nödgas motsätta mig det av den föregående ärade talaren gjorda yrkandet. Den upplysning han lämnade här, att andra kammaren på denna punkt har bifallit reservationen är egentligen en mycket god illustration till det irrationella i riksdagens behandling av sådana här frågor.</w:t>
        <w:br/>
        <w:br/>
        <w:t xml:space="preserve">Det förhåller sig nämligen så, att enligt det beslut, som således av andra kammaren är fattat, har doktor Strömstedts </w:t>
      </w:r>
      <w:r>
        <w:rPr>
          <w:b/>
        </w:rPr>
        <w:t>änka²</w:t>
      </w:r>
      <w:r>
        <w:rPr>
          <w:b w:val="0"/>
        </w:rPr>
        <w:t xml:space="preserve"> tillerkänts en väsentligt högre pension än om den befattning, på vilken pensionen är grundad, hade varit en ordinarie befattning och innehavaren av denna ordinarie befattning hade själv bekostat pensionen för sin familj. Det kan ju inte vara rimligt, att man på det viset sätter de grupper av befattningshavare, för vilka ingenting är ordnat i familjepensionshänseende i väsentligt förmånligare ställning även med</w:t>
        <w:br/>
        <w:br/>
        <w:t>avseende å beloppen än de ordinarie tjänstemän, som själva få bestrida sin ng pension. Det är ju här dessutom fråga om en befattning, som efter vanliga, "”ängelsehittills tillämpade grunder näppeligen borde ha kunnat användas såsom grundläkaren A. E. val för en familjepension. Det är vederbörandes befattning såsom fängelse- Strömstedts läkare, en bisyssla alltså, som här har tagits till utgångspunkt för familjeänka. pension. Det har redan, efter min bestämda uppfattning, tagits så stor hän- (Forts syn till ömmande förhållanden, som överhuvud taget rimligen kan göras, om man bifaller Kungl. Maj:ts förslag, som är detsamma som utskottets hemställan.</w:t>
        <w:br/>
        <w:br/>
        <w:t>Jag hemställer om bifall till utskottets förslag.</w:t>
      </w:r>
    </w:p>
    <w:p>
      <w:pPr>
        <w:pStyle w:val="Heading2"/>
      </w:pPr>
      <w:r>
        <w:t>5. Alfred Petren (Socialdemokraterna, man)</w:t>
      </w:r>
    </w:p>
    <w:p>
      <w:r>
        <w:rPr>
          <w:b w:val="0"/>
        </w:rPr>
        <w:t xml:space="preserve">Bankoutskottets ärade ordförande nämnde, att om första kammaren biträdde andra kammarens beslut, skulle det förhållandet inträffa, att doktor Strömstedts </w:t>
      </w:r>
      <w:r>
        <w:rPr>
          <w:b/>
        </w:rPr>
        <w:t>änka²</w:t>
      </w:r>
      <w:r>
        <w:rPr>
          <w:b w:val="0"/>
        </w:rPr>
        <w:t xml:space="preserve"> skulle få större pension än en </w:t>
      </w:r>
      <w:r>
        <w:rPr>
          <w:b/>
        </w:rPr>
        <w:t>änka²</w:t>
      </w:r>
      <w:r>
        <w:rPr>
          <w:b w:val="0"/>
        </w:rPr>
        <w:t xml:space="preserve"> efter en läkare vid centralfängelset, om denne haft ordinarie befattning, skulle ha fått. Jag tror icke man behöver befara, att ett sådant förhållande kan inträffa, ty det har visserligen föreslagits, som jag nämnde, att dessa tjänster skola uppföras på ordinarie stat, men tjänsterna äro nu så underbetalade, att det icke kan vara tal om annat än att det i samband med denna reglering blir en betydande löneförhöjning. Årsarvodet har ju icke alls motsvarat den arbetsbörda dessa läkare ha, varför det tillerkänts dem särskilt arvode för varje undersökning, och det är många sådana, som få göras vid centralfängelserna. Den dag, då dessa läkare komma på ordinarie stat, kunna deras änkor räkna med väsentligt högre pension än 600 kronor, därom kunna vi vara övertygade.</w:t>
        <w:br/>
        <w:br/>
        <w:t>Jag finner alltså fortfarande goda skäl tala för ett biträdande av andra kammarens beslut, såsom i detta fall förenat med rättvisa och billighet, och jag vidhåller mitt yrkande.</w:t>
      </w:r>
    </w:p>
    <w:p>
      <w:pPr>
        <w:pStyle w:val="Heading2"/>
      </w:pPr>
      <w:r>
        <w:t>6. Charles Lindley (Socialdemokraterna, man)</w:t>
      </w:r>
    </w:p>
    <w:p>
      <w:r>
        <w:rPr>
          <w:b w:val="0"/>
        </w:rPr>
        <w:t>Jag skall icke göra något yrkande i denna punkt, men jag ber få fästa uppmärksamheten vid den egendomligheten, att i alla de framställningar, som här föreligga om pension, beträffande vilka vi ha verkställt utredning för att försöka taga reda på hur förhållandena ligga till i varje särskilt fall, finns det i många fall angivet, att vederbörande ha vuxna barn</w:t>
        <w:br/>
        <w:br/>
        <w:t>Ang. i större eller mindre antal, ända upp till 7, 8 barn, men överallt skall man finna, löjina den att intet av dessa barn har förmåga att kunna hjälpa föräldrarna ekonomiskt. F. Raabs fader Ett enda sådant fall föreligger, nämligen under punkt 13. Där är det så, F.V. Raab. att ett barn har dött — en flyglöjtnant — och då åberopar fadern till denne (Forts) flyglöjtnant, att han varit i hög grad beroende av sonens ekonomiska hjälp, och så föreslås beviljande av pension på grundval av detta. Det är egendomligt, säger jag, att konstatera, att i alla de övriga fallen ha barnen icke kunnat hjälpa föräldrarna på minsta sätt men, när ett av barnen dött, är</w:t>
        <w:br/>
        <w:br/>
        <w:t>det en självklar sak, att man kunnat förvänta hjälp från barnets sida.</w:t>
        <w:br/>
        <w:br/>
        <w:t>Jag har intet yrkande, herr talman.</w:t>
        <w:br/>
        <w:br/>
        <w:t xml:space="preserve">1 juli 1927, så länge </w:t>
      </w:r>
      <w:r>
        <w:rPr>
          <w:b/>
        </w:rPr>
        <w:t>hon²</w:t>
      </w:r>
      <w:r>
        <w:rPr>
          <w:b w:val="0"/>
        </w:rPr>
        <w:t xml:space="preserve"> förbleve i sitt nuvarande </w:t>
      </w:r>
      <w:r>
        <w:rPr>
          <w:b/>
        </w:rPr>
        <w:t>änkestånd²</w:t>
      </w:r>
      <w:r>
        <w:rPr>
          <w:b w:val="0"/>
        </w:rPr>
        <w:t xml:space="preserve">, utöver </w:t>
      </w:r>
      <w:r>
        <w:rPr>
          <w:b/>
        </w:rPr>
        <w:t>henne²</w:t>
      </w:r>
    </w:p>
    <w:p>
      <w:pPr>
        <w:pStyle w:val="Heading2"/>
      </w:pPr>
      <w:r>
        <w:t>7. Charles Lindley (Socialdemokraterna, man)</w:t>
      </w:r>
    </w:p>
    <w:p>
      <w:r>
        <w:rPr>
          <w:b w:val="0"/>
        </w:rPr>
        <w:t xml:space="preserve">Jag får säga, att jag i denna punkt varit starkt betänkt på att reservera mig. Här föreligger ett sådant fall, där en </w:t>
      </w:r>
      <w:r>
        <w:rPr>
          <w:b/>
        </w:rPr>
        <w:t>änka²</w:t>
      </w:r>
      <w:r>
        <w:rPr>
          <w:b w:val="0"/>
        </w:rPr>
        <w:t xml:space="preserve"> beviljats tillläggspension, därför att </w:t>
      </w:r>
      <w:r>
        <w:rPr>
          <w:b/>
        </w:rPr>
        <w:t>hon²</w:t>
      </w:r>
      <w:r>
        <w:rPr>
          <w:b w:val="0"/>
        </w:rPr>
        <w:t xml:space="preserve"> är </w:t>
      </w:r>
      <w:r>
        <w:rPr>
          <w:b/>
        </w:rPr>
        <w:t>änka²</w:t>
      </w:r>
      <w:r>
        <w:rPr>
          <w:b w:val="0"/>
        </w:rPr>
        <w:t xml:space="preserve"> efter en omkommen flygare. </w:t>
      </w:r>
      <w:r>
        <w:rPr>
          <w:b/>
        </w:rPr>
        <w:t>Änkan²</w:t>
      </w:r>
      <w:r>
        <w:rPr>
          <w:b w:val="0"/>
        </w:rPr>
        <w:t xml:space="preserve"> i fråga är endast 22 år gammal, och jag tycker icke man kan säga, att några ömmande omständigheter föreligga som skäl för att bevilja tilläggspension. Först och främst har </w:t>
      </w:r>
      <w:r>
        <w:rPr>
          <w:b/>
        </w:rPr>
        <w:t>hon²</w:t>
      </w:r>
      <w:r>
        <w:rPr>
          <w:b w:val="0"/>
        </w:rPr>
        <w:t xml:space="preserve"> nämligen olycksfallspension på grund av att mannen har dött genom flygolycka, men så vill man också ge </w:t>
      </w:r>
      <w:r>
        <w:rPr>
          <w:b/>
        </w:rPr>
        <w:t>henne²</w:t>
      </w:r>
      <w:r>
        <w:rPr>
          <w:b w:val="0"/>
        </w:rPr>
        <w:t xml:space="preserve"> en tilläggspension. Om den </w:t>
      </w:r>
      <w:r>
        <w:rPr>
          <w:b/>
        </w:rPr>
        <w:t>änkan²</w:t>
      </w:r>
      <w:r>
        <w:rPr>
          <w:b w:val="0"/>
        </w:rPr>
        <w:t xml:space="preserve"> får leva länge, så kommer det säkerligen att bli mycket, mycket stora belopp, som på detta sätt utgå från statens sida.</w:t>
        <w:br/>
        <w:br/>
        <w:t xml:space="preserve">Men det är också en annan sida, av denna sak, som man behöver fästa uppmärksamheten vid, och det är den praxis, som automatiskt börjat tillämpas till och med i sådana fall, där icke ömmande omständigheter föreligga. Marinförvaltningen t. o. m. har i ett avgivet yttrande anfört, att sådana ömmande omständigheter i förevarande fall icke syntes föreligga, som skulle kunna föranleda utverkande av pension åt sökanden. Men likväl har man gått med på att giva denna </w:t>
      </w:r>
      <w:r>
        <w:rPr>
          <w:b/>
        </w:rPr>
        <w:t>änka²</w:t>
      </w:r>
      <w:r>
        <w:rPr>
          <w:b w:val="0"/>
        </w:rPr>
        <w:t xml:space="preserve"> en tilläggspension endast därför att det blivit en princip nu, att änkor eller anhöriga till omkomna flygare skola beviljas en särskild</w:t>
        <w:br/>
        <w:br/>
        <w:t xml:space="preserve">pension. Jag må säga, att det är något, som jag tror, att Kungl. Maj:t borde söka ordna på annat sätt, så att det icke skall vara automatiskt nödvändigt att bevilja sådana pensioner även där icke ömmande fall föreligga. Och det bör väl tagas upp redan i reglementet för dessa flygare eller ordnas på annat sätt, så att pension utgår automatiskt och så att bankoutskottet slipper behandla dessa saker såsom ömmande fall, vilket icke alls är förhållandet. Då en person blir </w:t>
      </w:r>
      <w:r>
        <w:rPr>
          <w:b/>
        </w:rPr>
        <w:t>änka²</w:t>
      </w:r>
      <w:r>
        <w:rPr>
          <w:b w:val="0"/>
        </w:rPr>
        <w:t xml:space="preserve"> redan vid 22 års ålder — </w:t>
      </w:r>
      <w:r>
        <w:rPr>
          <w:b/>
        </w:rPr>
        <w:t>hon²</w:t>
      </w:r>
      <w:r>
        <w:rPr>
          <w:b w:val="0"/>
        </w:rPr>
        <w:t xml:space="preserve"> kanske icke har varit gift i mer än två års tid — måste man betänka, att det ju i regel är vid den tiden, som ungdomen träder ut ifrån hemmet för att skapa sig en ställning i livet, och att redan vid så tidig ålder lämna pension och tilläggspension åt vederbörande kan jag icke anse vara riktigt lämpligt. Utskottet har emellertid gått med på detta. I andra kammaren tror jag för övrigt, att det framställts yrkande på avslag, men då andra kammaren i alla fall nu beviljat denna pension, vill jag icke här framställa samma yrkande även om jag kanske skulle lyckas genomtrumfa min åsikt i denna kammare, skulle jag därmed endast åstadkomma en gemensam votering, och därför vill jag avstå från att framställa något yrkande.</w:t>
      </w:r>
    </w:p>
    <w:p>
      <w:pPr>
        <w:pStyle w:val="Heading2"/>
      </w:pPr>
      <w:r>
        <w:t>8. Bo von Stockenström (Folkpartiet, man)</w:t>
      </w:r>
    </w:p>
    <w:p>
      <w:r>
        <w:rPr>
          <w:b w:val="0"/>
        </w:rPr>
        <w:t>Herr talman! Det föreligger här ifrån Kungl. Maj:ts sida ett förslag om pension åt tre änkor efter stallbetjänter vid Strömsholms hingstdepå. Anledningen till att Kungl. Maj:t framlagt förslag härom är den, att såväl år 1926 som år 1927 i liknande fall pension beviljats av riksdagen efter förslag av Kungl. Maj:t. Då sådan pension första</w:t>
        <w:br/>
        <w:br/>
        <w:t>gången beviljades år 1926, hade stuteriöverstyrelsen i sin skrivelse, däri den lade fram detta förslag, anfört, att ett bifall härtill kunde föranleda, att vissa andra änkor efter förut avlidna stallbetjänter vid statens hingstdepåer kunde komma att med åberopande av detta beslut göra framställning om pension. Riksdagen hade alltså redan då fått reda på att det kunde komma framställningar i andra fall av samma art. Så skedde också år 1927, då förslag framlades 1 två alldeles liknande fall.</w:t>
        <w:br/>
        <w:br/>
        <w:t xml:space="preserve">Nu har Kungl. Maj:t lagt fram förslag om pension åt tre andra änkor. Två av dessa änkor ha varit änkor ganska lång tid, nämligen respektive 14 och 15 år, och det förhållandet har också påpekats här av utskottet. Vad däremot den tredje </w:t>
      </w:r>
      <w:r>
        <w:rPr>
          <w:b/>
        </w:rPr>
        <w:t>änkan²</w:t>
      </w:r>
      <w:r>
        <w:rPr>
          <w:b w:val="0"/>
        </w:rPr>
        <w:t xml:space="preserve"> angår, har </w:t>
      </w:r>
      <w:r>
        <w:rPr>
          <w:b/>
        </w:rPr>
        <w:t>hon²</w:t>
      </w:r>
      <w:r>
        <w:rPr>
          <w:b w:val="0"/>
        </w:rPr>
        <w:t xml:space="preserve"> icke varit </w:t>
      </w:r>
      <w:r>
        <w:rPr>
          <w:b/>
        </w:rPr>
        <w:t>änka²</w:t>
      </w:r>
      <w:r>
        <w:rPr>
          <w:b w:val="0"/>
        </w:rPr>
        <w:t xml:space="preserve"> i mer än fem år. </w:t>
      </w:r>
      <w:r>
        <w:rPr>
          <w:b/>
        </w:rPr>
        <w:t>Hennes²</w:t>
      </w:r>
      <w:r>
        <w:rPr>
          <w:b w:val="0"/>
        </w:rPr>
        <w:t xml:space="preserve"> make var i tjänst vid hingstdepån i 54 år och själv är </w:t>
      </w:r>
      <w:r>
        <w:rPr>
          <w:b/>
        </w:rPr>
        <w:t>hon²</w:t>
      </w:r>
      <w:r>
        <w:rPr>
          <w:b w:val="0"/>
        </w:rPr>
        <w:t xml:space="preserve"> oförmögen att försörja sig; detsamma gäller om de båda andra änkorna.</w:t>
        <w:br/>
        <w:br/>
        <w:t>Nu har det också anförts, att de fall, som förelågo de båda föregående åren, icke voro alldeles likadana som de här föreliggande. Jag har icke riktigt kunnat fatta, vari denna skillnad skulle bestå. Det förhåller sig ju så, att det vid Strömsholms hingstdepå finns en viss understödskassa, varifrån bidrag utgå till en del änkor, och vad som här föreslås är endast en fyllnad i pension, så att den sammanlagda pensionen, alltså vad som utgår ifrån pensionskassan vid hingstdepån och vad som skulle utgå av statsmedel, skulle komma att uppgå till 384 kronor. Precis samma var förhållandet med de fall, som förelågo till behandling de båda föregående åren, och Kungl. Maj:t har därför ansett, att alla skäl tala för och rättvisan fordrar, att även de tre änkor, som det nu är fråga om, erhålla pension efter samma grunder.</w:t>
        <w:br/>
        <w:br/>
        <w:t>Jag vågar därför hemställa, att den här föreliggande framställningen måtte av riksdagen bifallas.</w:t>
      </w:r>
    </w:p>
    <w:p>
      <w:pPr>
        <w:pStyle w:val="Heading2"/>
      </w:pPr>
      <w:r>
        <w:t>9. Carl Svensson (Socialdemokraterna, man)</w:t>
      </w:r>
    </w:p>
    <w:p>
      <w:r>
        <w:rPr>
          <w:b w:val="0"/>
        </w:rPr>
        <w:t xml:space="preserve">Ja, det förhåller sig, herr talman, nog ändå så, att de fall, som framlagts i år från Kungl. Maj:ts sida icke äro fullt jämförbara med de tre föregående fallen, då riksdagen beviljat understöd till änkor efter befattningshavare vid Strömsholms hingstdepå. I två av de föregående fallen ha vederbörande icke kommit i åtnjutande av något underhåll från depåförvaltningen, som fallet är med de änkor, åt vilka man nu i år föreslagit pension. I det ena av de tre föregående fallen åtnjöts verkligen också ett understöd ifrån depåförvaltningen, men den </w:t>
      </w:r>
      <w:r>
        <w:rPr>
          <w:b/>
        </w:rPr>
        <w:t>änkan²</w:t>
      </w:r>
      <w:r>
        <w:rPr>
          <w:b w:val="0"/>
        </w:rPr>
        <w:t xml:space="preserve"> hade själv haft tjänst, och det understöd, som beviljades </w:t>
      </w:r>
      <w:r>
        <w:rPr>
          <w:b/>
        </w:rPr>
        <w:t>henne²</w:t>
      </w:r>
      <w:r>
        <w:rPr>
          <w:b w:val="0"/>
        </w:rPr>
        <w:t xml:space="preserve">, var att betrakta mindre såsom en </w:t>
      </w:r>
      <w:r>
        <w:rPr>
          <w:b/>
        </w:rPr>
        <w:t>änkepension²</w:t>
      </w:r>
      <w:r>
        <w:rPr>
          <w:b w:val="0"/>
        </w:rPr>
        <w:t xml:space="preserve"> än som en tjänstepension med hänsyn till den tjänst, som </w:t>
      </w:r>
      <w:r>
        <w:rPr>
          <w:b/>
        </w:rPr>
        <w:t>hon²</w:t>
      </w:r>
      <w:r>
        <w:rPr>
          <w:b w:val="0"/>
        </w:rPr>
        <w:t xml:space="preserve"> haft vid Strömsholm. Det är alltså den skillnad, som föreligger.</w:t>
        <w:br/>
        <w:br/>
        <w:t xml:space="preserve">Anledningen till att utskottet i år tvekat att tillstyrka detta förslag, som ju inte gäller några större belopp — det kan ju inte heller vara fråga om några farliga konsekvenser, vad Strömsholmsänkorna beträffar —, är den, att riksdagen de senaste två eller tre åren har haft att taga ställning till motionsvis framställda krav på att änkor, som tidigare beviljats pensionsunderstöd av riksdagen, men vilka pensionsunderstöd utgå med väsentligt mindre belopp än vad som nu beviljas, skulle tillerkännas ett tilläggsunderstöd för att komma upp till den nivå, på vilken dessa </w:t>
      </w:r>
      <w:r>
        <w:rPr>
          <w:b/>
        </w:rPr>
        <w:t>änkeunderstöd²</w:t>
      </w:r>
      <w:r>
        <w:rPr>
          <w:b w:val="0"/>
        </w:rPr>
        <w:t xml:space="preserve"> för närvarande befinna sig. Dessa framställningar ha av riksdagen avslagits. Man har icke velat gå in för en sådan pensionsförbättring. De änkor det härvid varit fråga om kunna emellertid helt och hållet jämställas med dem om vilka den föredragna punkten handlar. Dessa ha redan kommit i åtnjutande av ett, visserligen icke så stort, understöd från depåförvaltningen vid Strömsholm. Detta var den synpunkt, som blev avgörande för utskottets beslut att avstyrka framställningarna. Det kunde ju synas vara en inkonsekvens och är naturligtvis inkonsekvent att i vissa speciella fall medgiva en pensionsförbättring, samtidigt som riksdagen</w:t>
        <w:br/>
        <w:br/>
        <w:t>ställt sig avvisande för att göra det mera generellt beträffande änkor. vilka dock tidigare av riksdagen ansetts böra ha något understöd. Jag hemställer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