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578</w:t>
      </w:r>
    </w:p>
    <w:p>
      <w:r>
        <w:rPr>
          <w:b/>
        </w:rPr>
        <w:t xml:space="preserve">Datum: </w:t>
      </w:r>
      <w:r>
        <w:t>1928-05-30</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Bergqvist (Högerns riksdagsgrupp, man)</w:t>
      </w:r>
    </w:p>
    <w:p>
      <w:r>
        <w:rPr>
          <w:b w:val="0"/>
        </w:rPr>
        <w:t xml:space="preserve">Det var ett rätt hårt omdöme om statsutskottet, som den siste ärade talaren fällde, men jag kan försäkra herr Sandegård, att om också utskottet ej skrivit så mycket om denna sak, har nog motionen ändå sakligt behandlats. Utskottet har icke ansett sig behöva skriva mer än denna sats: — — »till följd varav utskottet ej kunnat förorda nyssberörda, motionsvis framställda yrkande.» Orsaken till att motionen ej kunnat tillstyrkas är, att utskottet ansett, att detta motionsvis framförda yrkande knappast är väckt i rätt ordning och i rätt sammanhang. Det är en genomgående grundsats, att dessa </w:t>
      </w:r>
      <w:r>
        <w:rPr>
          <w:b/>
        </w:rPr>
        <w:t>flickskolor²</w:t>
      </w:r>
      <w:r>
        <w:rPr>
          <w:b w:val="0"/>
        </w:rPr>
        <w:t xml:space="preserve"> i alla tillämpliga delar skola jämställas med de kommunala mellanskolorna. också med avseende på lärarnas tjänstgöring. De sakkunniga, som haft beredningen om hand, ha föreslagit för manliga lärare 24—28 veckotimmar, men beträffande </w:t>
      </w:r>
      <w:r>
        <w:rPr>
          <w:b/>
        </w:rPr>
        <w:t>kvinnliga¹</w:t>
      </w:r>
      <w:r>
        <w:rPr>
          <w:b w:val="0"/>
        </w:rPr>
        <w:t xml:space="preserve"> lärare, att de skulle ha 22—26 lärotimmar, sålunda två timmar mindre än de manliga. Kungl. Maj:t har emellertid ej gått med på detta utan anslutit sig till skolöverstyrelsens ståndpunkt, som också av riksdagen har fastslagits, nämligen att tjänstgöringstiden för manliga och </w:t>
      </w:r>
      <w:r>
        <w:rPr>
          <w:b/>
        </w:rPr>
        <w:t>kvinnliga¹</w:t>
      </w:r>
      <w:r>
        <w:rPr>
          <w:b w:val="0"/>
        </w:rPr>
        <w:t xml:space="preserve"> lärare skall vara lika, och därför för sin del föreslagit, att för såväl </w:t>
      </w:r>
      <w:r>
        <w:rPr>
          <w:b/>
        </w:rPr>
        <w:t>kvinnliga¹</w:t>
      </w:r>
      <w:r>
        <w:rPr>
          <w:b w:val="0"/>
        </w:rPr>
        <w:t xml:space="preserve"> som manliga ämneslärare undervisningsskyldigheten skall omfatta 24—28 veckotimmar. Detta är i fullständig överensstämmelse med vad som är fallet vid de kommunala mellanskolorna, och det finnes väl ingen som helst anledning att ställa lärarna vid de kommunala </w:t>
      </w:r>
      <w:r>
        <w:rPr>
          <w:b/>
        </w:rPr>
        <w:t>flickskolorna²</w:t>
      </w:r>
      <w:r>
        <w:rPr>
          <w:b w:val="0"/>
        </w:rPr>
        <w:t xml:space="preserve"> i sämre ställning än lärarna vid de kommunala mellanskolorna. Är det så, att undervisningstiden är för kort gäller det båda dessa slag av skolor, och därför bör frågan om utsträckt tjänstgöringsskyldighet tagas upp i ett större sammanhang, men det torde endast böra ske i samband med en lönereglering.</w:t>
        <w:br/>
        <w:br/>
        <w:t>Jag finner därför utskottets ståndpunkt fullt befogad. och Jag ber, herr talman, att få yrka bifall till utskottets hemställan oförändrad.</w:t>
      </w:r>
    </w:p>
    <w:p>
      <w:pPr>
        <w:pStyle w:val="Heading2"/>
      </w:pPr>
      <w:r>
        <w:t>2. Karl Sandegård (Socialdemokraterna, man)</w:t>
      </w:r>
    </w:p>
    <w:p>
      <w:r>
        <w:rPr>
          <w:b w:val="0"/>
        </w:rPr>
        <w:t>Det var en ganska oväntad upplysning, man fick av avdelningens ärade ordförande. Det kunde ju i alla fall ha varit behagligt att åtminstone få läsa den förklaringen i statsutskottets utlåtande. Att emellertid motionen inte skulle vara väckt i vederbörlig ordning och i rätt sammanhang, eller hur orden föllo, förvånar mig 1 högsta grad, eftersom den kungl. propositionen både har en särskild avdelning i motiveringen, där det talas om lärarnas tjänstgöringsskyldighet, och dessutom särskilt föreslår, att tjänstgöringsskyldigheten skall bestämmas till 24—28 timmar. Men jag vill därtill lägga, att motionärerna därvid visst icke varit blinda för det faktum, att ett beslut i den riktning, som motionärerna avsett, skulle medföra konsekvenser även i fråga om de övriga skolorna. De säga nämligen i motionen: »Ett yrkande härom i anslutning till förevarande proposition framställes naturligtvis under medvetande</w:t>
        <w:br/>
        <w:br/>
        <w:t>mycket väl ha kunnat gå för sig.</w:t>
        <w:br/>
        <w:br/>
        <w:t>Jag ber att få vidhålla mitt yrkande.</w:t>
      </w:r>
    </w:p>
    <w:p>
      <w:pPr>
        <w:pStyle w:val="Heading2"/>
      </w:pPr>
      <w:r>
        <w:t>3. Olof Bergqvist (Högerns riksdagsgrupp, man)</w:t>
      </w:r>
    </w:p>
    <w:p>
      <w:r>
        <w:rPr>
          <w:b w:val="0"/>
        </w:rPr>
        <w:t>Herr talman! Till detta utlåtande har fogats en reservation, undertecknad av icke mindre än 12 av utskottets ledamöter. Utskottet var sålunda jämnt delat, men lotten avgjorde vilkendera meningen som skulle bli utskottets förslag.</w:t>
        <w:br/>
        <w:br/>
        <w:t xml:space="preserve">Det gäller här frågan om att biträdande föreståndarinna vid </w:t>
      </w:r>
      <w:r>
        <w:rPr>
          <w:b/>
        </w:rPr>
        <w:t>flickskola²</w:t>
      </w:r>
      <w:r>
        <w:rPr>
          <w:b w:val="0"/>
        </w:rPr>
        <w:t xml:space="preserve"> med </w:t>
      </w:r>
      <w:r>
        <w:rPr>
          <w:b/>
        </w:rPr>
        <w:t>kvinnlig¹</w:t>
      </w:r>
      <w:r>
        <w:rPr>
          <w:b w:val="0"/>
        </w:rPr>
        <w:t xml:space="preserve"> föreståndarinna skall få viss nedsättning i sin tjänstgöring. Detta krav har framställts vid flera tillfällen, ehuru det icke blivit beaktat. Emellertid har erfarenheten givit vid handen, att föreståndarinnan vid större </w:t>
      </w:r>
      <w:r>
        <w:rPr>
          <w:b/>
        </w:rPr>
        <w:t>flickskolor²</w:t>
      </w:r>
      <w:r>
        <w:rPr>
          <w:b w:val="0"/>
        </w:rPr>
        <w:t xml:space="preserve"> har så mycket med det praktiska arbetet att göra, att </w:t>
      </w:r>
      <w:r>
        <w:rPr>
          <w:b/>
        </w:rPr>
        <w:t>hon²</w:t>
      </w:r>
      <w:r>
        <w:rPr>
          <w:b w:val="0"/>
        </w:rPr>
        <w:t xml:space="preserve"> icke hinner taga den personliga vård om </w:t>
      </w:r>
      <w:r>
        <w:rPr>
          <w:b/>
        </w:rPr>
        <w:t>flickorna²</w:t>
      </w:r>
      <w:r>
        <w:rPr>
          <w:b w:val="0"/>
        </w:rPr>
        <w:t xml:space="preserve">, som skulle vara önskvärd. </w:t>
      </w:r>
      <w:r>
        <w:rPr>
          <w:b/>
        </w:rPr>
        <w:t>Hon²</w:t>
      </w:r>
      <w:r>
        <w:rPr>
          <w:b w:val="0"/>
        </w:rPr>
        <w:t xml:space="preserve"> måste därför överlämna den åt den biträdande föreståndarinnan. Därigenom blir åter dennas arbetsbörda ganska stor, om </w:t>
      </w:r>
      <w:r>
        <w:rPr>
          <w:b/>
        </w:rPr>
        <w:t>hon²</w:t>
      </w:r>
      <w:r>
        <w:rPr>
          <w:b w:val="0"/>
        </w:rPr>
        <w:t xml:space="preserve"> inte får någon nedsättning i sin tjänst-</w:t>
        <w:br/>
        <w:br/>
        <w:t>göring. Det är nu ifrågasatt, att sådan biträdande föreståndarinna skulle få med intill fem timmar förkortad tjänstgöring per vecka. Detta skulle emeller-</w:t>
        <w:br/>
        <w:br/>
        <w:t>för biträdande tid bero på särskild prövning i varje fall, så att medgivandet icke utan vidare</w:t>
        <w:br/>
        <w:br/>
        <w:t xml:space="preserve">komme att lämnas </w:t>
      </w:r>
      <w:r>
        <w:rPr>
          <w:b/>
        </w:rPr>
        <w:t>henne²</w:t>
      </w:r>
      <w:r>
        <w:rPr>
          <w:b w:val="0"/>
        </w:rPr>
        <w:t>. Det finns därför en garanti för att det icke skulle komma att missbrukas.</w:t>
        <w:br/>
        <w:br/>
        <w:t xml:space="preserve">Jag tror för min del, att det är högst nödvändigt, att man gör detta medgivande beträffande de stora </w:t>
      </w:r>
      <w:r>
        <w:rPr>
          <w:b/>
        </w:rPr>
        <w:t>flickläroverken²</w:t>
      </w:r>
      <w:r>
        <w:rPr>
          <w:b w:val="0"/>
        </w:rPr>
        <w:t>, och jag ber därför att få hemställa om bifall till reservationen.</w:t>
      </w:r>
    </w:p>
    <w:p>
      <w:pPr>
        <w:pStyle w:val="Heading2"/>
      </w:pPr>
      <w:r>
        <w:t>4. Olof Olsson (Socialdemokraterna, man)</w:t>
      </w:r>
    </w:p>
    <w:p>
      <w:r>
        <w:rPr>
          <w:b w:val="0"/>
        </w:rPr>
        <w:t xml:space="preserve">Herr talman! Det står i utskottsutlåtandet, att riksdagen så sent som år 1925 tog ståndpunkt till denna fråga och att det sedermera inte har hänt något, som är av beskaffenhet att föranleda riksdagen att byta om ståndpunkt. Man skulle väl snarare kunna säga, att det har hänt saker och ting, som mera i år än 1925 tala för den ståndpunkt, som riksdagen då intog. Den grundsyn, som har bestämt den utskottshalva, som hade tur — om jag så får säga är i korthet följande: Om vi ha en samskola med en manlig rektor, då är det rimligt, att han har en biträdande föreståndarinna under vissa tjänstgöringsvillkor just för </w:t>
      </w:r>
      <w:r>
        <w:rPr>
          <w:b/>
        </w:rPr>
        <w:t>flickornas²</w:t>
      </w:r>
      <w:r>
        <w:rPr>
          <w:b w:val="0"/>
        </w:rPr>
        <w:t xml:space="preserve"> skull. Om vi ha en </w:t>
      </w:r>
      <w:r>
        <w:rPr>
          <w:b/>
        </w:rPr>
        <w:t>flickskola²</w:t>
      </w:r>
      <w:r>
        <w:rPr>
          <w:b w:val="0"/>
        </w:rPr>
        <w:t xml:space="preserve"> med manlig rektor, inträda enahanda förhållanden; man måste ha denna biträdande föreståndarinna också där för </w:t>
      </w:r>
      <w:r>
        <w:rPr>
          <w:b/>
        </w:rPr>
        <w:t>flickornas²</w:t>
      </w:r>
      <w:r>
        <w:rPr>
          <w:b w:val="0"/>
        </w:rPr>
        <w:t xml:space="preserve"> skull. Har man en </w:t>
      </w:r>
      <w:r>
        <w:rPr>
          <w:b/>
        </w:rPr>
        <w:t>flickskola²</w:t>
      </w:r>
      <w:r>
        <w:rPr>
          <w:b w:val="0"/>
        </w:rPr>
        <w:t xml:space="preserve"> med </w:t>
      </w:r>
      <w:r>
        <w:rPr>
          <w:b/>
        </w:rPr>
        <w:t>kvinnlig¹</w:t>
      </w:r>
      <w:r>
        <w:rPr>
          <w:b w:val="0"/>
        </w:rPr>
        <w:t xml:space="preserve"> rektor, ligger inte saken på samma sätt som i de föregående fallen, och detta framgår redan därav att vi ju inte om vi ha en gosskola med manlig rektor, för den skull ha en biträdande föreståndare, som skall stå honom till tjänst, hur stor än denna skola är. Det är dessa korta reflexioner, som ha gjort, att utskottshalvan med tur har ställt sig på den ståndpunkt den intagit, och jag ber, herr talman, att få yrka bifall till utskottets hemställan.</w:t>
      </w:r>
    </w:p>
    <w:p>
      <w:pPr>
        <w:pStyle w:val="Heading2"/>
      </w:pPr>
      <w:r>
        <w:t>5. John Almkvist (Frisinnade folkpartiet, man)</w:t>
      </w:r>
    </w:p>
    <w:p>
      <w:r>
        <w:rPr>
          <w:b w:val="0"/>
        </w:rPr>
        <w:t xml:space="preserve">Jag ber få hemställa till kammaren att också vid denna punkt liksom i de övriga beträffande den föredragna propositionen tillmötesgå Kungl. Maj:ts framställning. Det är visserligen så, som den siste ärade talaren uttryckte sig, att riksdagen så sent som år 1925 prövat ifrågavarande spörsmål, men jag vill erinra om hur denna fråga uppkommit. Skolöverstyrelsen har sedan lång tid tillbaka lämnat medgivande, att biträdande förståndarinnas vid </w:t>
      </w:r>
      <w:r>
        <w:rPr>
          <w:b/>
        </w:rPr>
        <w:t>flickskola²</w:t>
      </w:r>
      <w:r>
        <w:rPr>
          <w:b w:val="0"/>
        </w:rPr>
        <w:t xml:space="preserve"> tjänstgöringstid nedsatts med fem timmar. Men år 1925 framlades ett förslag från överstyrelsens sida om att detta skulle regleras genom författningsbestämmelserna, och då kom frågan under riksdagens prövning, men riksdagen beslöt, såsom herr Olof Olsson nyss nämnde, att sådant medgivande skulle gälla endast läroanstalt med manlig rektor men icke anstalt med </w:t>
      </w:r>
      <w:r>
        <w:rPr>
          <w:b/>
        </w:rPr>
        <w:t>kvinnlig¹</w:t>
      </w:r>
      <w:r>
        <w:rPr>
          <w:b w:val="0"/>
        </w:rPr>
        <w:t xml:space="preserve"> rektor. Det förhåller sig emellertid så, att de bestämmelser angående föreståndarinnas tjänstgöring, som av riksdagen fastställts och som äro mycket snäva, nästan göra det omöjligt för </w:t>
      </w:r>
      <w:r>
        <w:rPr>
          <w:b/>
        </w:rPr>
        <w:t>henne²</w:t>
      </w:r>
      <w:r>
        <w:rPr>
          <w:b w:val="0"/>
        </w:rPr>
        <w:t xml:space="preserve"> att i stora skolor i önskvärd omfattning övervaka förhållandena, lämna erforderlig handledning och fullgöra den korrespondensplikt, som åligger </w:t>
      </w:r>
      <w:r>
        <w:rPr>
          <w:b/>
        </w:rPr>
        <w:t>henne²</w:t>
      </w:r>
      <w:r>
        <w:rPr>
          <w:b w:val="0"/>
        </w:rPr>
        <w:t xml:space="preserve">. Tjänstgöringen är nämligen så omfattande, att </w:t>
      </w:r>
      <w:r>
        <w:rPr>
          <w:b/>
        </w:rPr>
        <w:t>hon²</w:t>
      </w:r>
      <w:r>
        <w:rPr>
          <w:b w:val="0"/>
        </w:rPr>
        <w:t xml:space="preserve"> icke kan sköta den utan biträde. Sådana stora skolor förekomma emellertid endast i ett litet antal fall. Man kan säga, att antalet sådana stora skolor i hela riket belöper sig till ett tiotal. Jag tycker, att det ur skolans synpunkt är synnerligen otillfredsställande, om riksdagen nu skulle vägra att visa detta tillmötesgående för att göra det möjligt att jämväl vid de stora skolorna tillfredsställande ordna skolans lokala ledning.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