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597</w:t>
      </w:r>
    </w:p>
    <w:p>
      <w:r>
        <w:rPr>
          <w:b/>
        </w:rPr>
        <w:t xml:space="preserve">Datum: </w:t>
      </w:r>
      <w:r>
        <w:t>1929-04-27</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 xml:space="preserve">Herr talman! Det gäller här en kungl. proposition, som avser pension åt förre justeraren i södra distriktet — Malmöområdet — Tengelin. Han är 75 år gammal och har i 35 år varit justerare. Han har icke haft möjlighet att ingå i någon pensionskassa, och sålunda kan man inte tillvita honom, att han har undérlåtit att i detta hänseende tillvarataga sina egna och sin familjs intressen. Han befinner sig nu i ringa omständigheter och har en sjuklig </w:t>
      </w:r>
      <w:r>
        <w:rPr>
          <w:b/>
        </w:rPr>
        <w:t>hustru²</w:t>
      </w:r>
      <w:r>
        <w:rPr>
          <w:b w:val="0"/>
        </w:rPr>
        <w:t xml:space="preserve"> att försörja. Det har då synts mig, att Kungl. Maj:ts proposi-</w:t>
        <w:br/>
        <w:br/>
        <w:t>tion i detta ärende är väl grundad. Det är visserligen sant, att justerarna inte Om = äro statstjänstemän i egentlig mening, men de uppehålla ju en av statens funkisterare SR tioner, och den omständigheten, att deras avlöning har form av till arbetet knut- '$” Tengelin. na arvoden synes mig inte böra utgöra ett avgörande hinder för att en pension = (Forts)</w:t>
        <w:br/>
        <w:br/>
        <w:t>i detta fall beviljas. Då jag också personligen känner till Tengelin och vet,</w:t>
        <w:br/>
        <w:br/>
        <w:t>att han har varit en i hela sitt arbetsområde högt skattad och mycket human</w:t>
        <w:br/>
        <w:br/>
        <w:t>man, som har gjort sig förtjänt av att på något sätt få ett understöd, när han</w:t>
        <w:br/>
        <w:br/>
        <w:t>inte längre orkar uppehålla denna syssla, så har jag, herr talman, velat yrka</w:t>
        <w:br/>
        <w:br/>
        <w:t>bifall till Kungl. Maj:ts förslag i denna punkt.</w:t>
      </w:r>
    </w:p>
    <w:p>
      <w:pPr>
        <w:pStyle w:val="Heading2"/>
      </w:pPr>
      <w:r>
        <w:t>2. Carl Svensson (Socialdemokraterna, man)</w:t>
      </w:r>
    </w:p>
    <w:p>
      <w:r>
        <w:rPr>
          <w:b w:val="0"/>
        </w:rPr>
        <w:t>Herr talman! Herr Rydén har redan nämnt, att justerarna icke äro statstjänstemän i vanlig mening. De utföra ett uppdrag för statens räkning, för vilket de ha rättighet att av den, som påkallar deras besiktning eller deras justering, erhålla ersättning efter en av Kungl. Maj:t fastställd taxa. Denna taxa har efter utskottets förmenande tidigare varit festställd så, att man måst utgå från att de själva skulle sörja för sin pensionering, och den reglering av taxan, som under förra året ägde rum, har i detta avseende icke ändrat någonting. När taxan nyreglerades, var det icke på något sätt tal om att därutöver skulle efter viss tid utgå pension från staten eller överhuvud taget att någon pension skulle förekomma. Med hänsyn härtill synes det icke föreligga något skäl att ge en pension i detta enstaka fall. Det är klart, att detta fall sedan skulle betraktas så, att därmed hade staten i princip gått in för att ge pension åt justerarna. Men inte bara denna konsekvens kunde följa av ett bifall till propositionen, utan det kunde väl därav också följa den konsekvensen, att andra funktionärer, som ha det ställt på samma sätt som justerarna i avlöningshänseende, kunde komma att med samma rätt begära, att staten skulle sörja för deras pensionering. Jag tänker närmast på en kategori, som torde få betraktas såsom ganska likställd med justerarna, nämligen bilbesiktningsmännen. Innan det företagits en undersökning, hur man vill ställa sig beträffande dessa olika kårer, torde man i varje fall inte böra i ett enskilt fall gå in på ett dylikt pensionerande, som här har föreslagits.</w:t>
        <w:br/>
        <w:br/>
        <w:t>Det är dessa skäl, som hava föranlett utskottet att hemställa om avslag på den kungl. propositionen, och jag ber att få meddela, att andra kammaren för sin del med stor majoritet i detta fall följt utskottets förslag.</w:t>
        <w:br/>
        <w:br/>
        <w:t>Jag hemställer om bifall till utskottets förslag.</w:t>
      </w:r>
    </w:p>
    <w:p>
      <w:pPr>
        <w:pStyle w:val="Heading2"/>
      </w:pPr>
      <w:r>
        <w:t>3. unknown (–, –)</w:t>
      </w:r>
    </w:p>
    <w:p>
      <w:r>
        <w:rPr>
          <w:b w:val="0"/>
        </w:rPr>
        <w:t>Herr talman! Jag har jämte åtskilliga medmotionärer både (Forts) förra året och vid innevarande års riksdag tillåtit mig motionera om en pen-</w:t>
        <w:br/>
        <w:br/>
        <w:t>sionsförhöjning åt adjunkten Idstedt, som i många år samvetsgrant skött en adjunktsyssla vid Karlstads läroverk. Emellertid har denna motion, som kammaren ser, helt kort avstyrkts av utskottet med hänvisning till ett yttrande av skolöverstyrelsen, i vilket statskontoret har instämt. Jag skall inte här anföra någon argumentering mot skolöverstyrelsens resonemang. Jag vill bara konstatera, att skolöverstyrelsen tyckes, alldeles som motionärerna, anse, att den Idstedt tilldelade författningsenliga pensionen i och för sig är för liten i förhållande till arten och längden av Idstedts tjänstgöring och att det på den grunden kunde vara billigt att bereda honom ökad pension. Överstyrelsen säger sig icke hava något att erinra mot en sådan uppfattning och en sådan åtgärd, men överstyrelsen framhåller samtidigt, att man inte kan gå in för att företaga en pensionsförhöjning på dessa grunder i ett enda isolerat fall, utan att man i så fall måste vidtaga motsvarande åtgärd i fråga om alla andra, som ha kommit i samma eller ännu mera svårartad belägenhet. Jag kan inte annat än erkänna, att överstyrelsen principiellt har rätt häri. Och då Jag gent emot enhälliga myndigheter och ett enhälligt avstyrkande utskott inte anser någon möjlighet här föreligga att driva motionärernas mening, har jag endast velat uttala mitt beklagande av att vår framställning i detta synnerligen behjärtansvärda fall inte har kunnat leda till något positivt resultat. Herr talman! Jag har inte något yrkande.</w:t>
        <w:br/>
        <w:br/>
        <w:t xml:space="preserve">»Det föreliggande förslaget är av den art, att det undandrager sig bedömande efter de grunder, vilka vanligen pläga tillämpas vid beviljande av pension eller därmed jämförligt understöd. Anna Sandström har nämligen icke innehaft anställning i statens tjänst, utan förslaget om pension åt </w:t>
      </w:r>
      <w:r>
        <w:rPr>
          <w:b/>
        </w:rPr>
        <w:t>henne²</w:t>
      </w:r>
      <w:r>
        <w:rPr>
          <w:b w:val="0"/>
        </w:rPr>
        <w:t xml:space="preserve"> grundar sig på en önskan att i sådan form giva uttryck av erkännande för av </w:t>
      </w:r>
      <w:r>
        <w:rPr>
          <w:b/>
        </w:rPr>
        <w:t>henne²</w:t>
      </w:r>
      <w:r>
        <w:rPr>
          <w:b w:val="0"/>
        </w:rPr>
        <w:t xml:space="preserve"> utövad framstående verksamhet på undervisningsväsendets område. Frågan, huruvida denna verksamhet är av beskaffenhet att motivera ett dylikt erkännande från statens sida, synes utskottet emellertid böra i första hand bedömas av Kungl. Maj:t. På grund härav har utskottet ansett sig icke böra till-</w:t>
        <w:br/>
        <w:br/>
        <w:t>styrka, att riksdagen skulle, innan Kungl. Maj:t tagit ställning till frågan, ingå på prövning av densamma. Vid sådant förhållande finner sig utskottet böra avstyrka bifall till de väckta motionerna.</w:t>
        <w:br/>
        <w:br/>
        <w:t>Aberopande det anförda hemställer utskottet, att förevarande motioner T:98 och II:266 icke må till någon riksdagens åtgärd föranleda.»</w:t>
      </w:r>
    </w:p>
    <w:p>
      <w:pPr>
        <w:pStyle w:val="Heading2"/>
      </w:pPr>
      <w:r>
        <w:t>4. Johan Bergman (Liberala samlingspartiet, man)</w:t>
      </w:r>
    </w:p>
    <w:p>
      <w:r>
        <w:rPr>
          <w:b w:val="0"/>
        </w:rPr>
        <w:t xml:space="preserve">Herr talman, mina herrar! Den föregående ärade talaren yttrade sig, ehuru utan yrkande, till förmån för en framställning, som är avstyrkt av den ansvariga myndigheten för sådana ärenden, som det nu är fråga om, skolöverstyrelsen. Den framställning, som jag här kommer att tala för, är däremot tillstyrkt av denna myndighet, och den är för övrigt tillstyrkt av alla de sakkunniga, som ha yttrat sig om saken. Det torde därför icke kunna anses obefogat, om jag vågar göra ett yrkande om bifall därtill. Det gäller en fyllnadspension — en mycket obetydlig utgift för staten — åt </w:t>
      </w:r>
      <w:r>
        <w:rPr>
          <w:b/>
        </w:rPr>
        <w:t>fröken²</w:t>
      </w:r>
      <w:r>
        <w:rPr>
          <w:b w:val="0"/>
        </w:rPr>
        <w:t xml:space="preserve"> Anna Sandström.</w:t>
        <w:br/>
        <w:br/>
        <w:t xml:space="preserve">Det är allmänt erkänt, att Anna Sandströms långvariga och fruktbärande pedagogiska livsgärning har varit av den banbrytande och kvalitativt framstående beskaffenhet, att säkerligen ytterst få motstycken därtill torde kunna uppvisas. Om man skulle fråga representanterna för vårt högre </w:t>
      </w:r>
      <w:r>
        <w:rPr>
          <w:b/>
        </w:rPr>
        <w:t>kvinnliga¹</w:t>
      </w:r>
      <w:r>
        <w:rPr>
          <w:b w:val="0"/>
        </w:rPr>
        <w:t xml:space="preserve"> undervisningsväsen vem de betrakta som den främsta gestalten bland de nu levande på detta område, skulle de säkerligen med ganska stor samstämmighet nämna just namnet Anna Sandström. Detta betyder ju icke litet, ty det finns ganska gott om framstående krafter inom den högre </w:t>
      </w:r>
      <w:r>
        <w:rPr>
          <w:b/>
        </w:rPr>
        <w:t>kvinnliga¹</w:t>
      </w:r>
      <w:r>
        <w:rPr>
          <w:b w:val="0"/>
        </w:rPr>
        <w:t xml:space="preserve"> undervisningen. Anna Sandström har i närmare ett halvt århundrade utövat undervisningsverksamhet av högt kvalificerad art dels i </w:t>
      </w:r>
      <w:r>
        <w:rPr>
          <w:b/>
        </w:rPr>
        <w:t>flickskolor²</w:t>
      </w:r>
      <w:r>
        <w:rPr>
          <w:b w:val="0"/>
        </w:rPr>
        <w:t xml:space="preserve">, dels i det av </w:t>
      </w:r>
      <w:r>
        <w:rPr>
          <w:b/>
        </w:rPr>
        <w:t>henne²</w:t>
      </w:r>
      <w:r>
        <w:rPr>
          <w:b w:val="0"/>
        </w:rPr>
        <w:t xml:space="preserve"> grundade, högt ansedda lärarinneseminariet. I detta seminarium, som nu genom statens åtgärder måste nedläggas, ha mellan 500 och 600 </w:t>
      </w:r>
      <w:r>
        <w:rPr>
          <w:b/>
        </w:rPr>
        <w:t>lärarinnor³</w:t>
      </w:r>
      <w:r>
        <w:rPr>
          <w:b w:val="0"/>
        </w:rPr>
        <w:t xml:space="preserve"> utbildats. Och till åtskilliga tusental uppgå de, som på skolstadiet direkt eller indirekt haft förmånen av </w:t>
      </w:r>
      <w:r>
        <w:rPr>
          <w:b/>
        </w:rPr>
        <w:t>hennes²</w:t>
      </w:r>
      <w:r>
        <w:rPr>
          <w:b w:val="0"/>
        </w:rPr>
        <w:t xml:space="preserve"> undervisningsoch uppfostringsverksamhet. Därtill kommer den synnerligen betydelsefulla pedagogiska författarverksamhet </w:t>
      </w:r>
      <w:r>
        <w:rPr>
          <w:b/>
        </w:rPr>
        <w:t>hon²</w:t>
      </w:r>
      <w:r>
        <w:rPr>
          <w:b w:val="0"/>
        </w:rPr>
        <w:t xml:space="preserve"> utövat. Den anda, i vilken Anna Sandströms fruktbärande livsgärning utförts, har alltid varit sund och kulturfylld; </w:t>
      </w:r>
      <w:r>
        <w:rPr>
          <w:b/>
        </w:rPr>
        <w:t>hennes²</w:t>
      </w:r>
      <w:r>
        <w:rPr>
          <w:b w:val="0"/>
        </w:rPr>
        <w:t xml:space="preserve"> verksamhet har burits av sällsynt djupgående insikter och av brinnande kärlek till livskallet och till ungdomen. Det ljus, som lyser över </w:t>
      </w:r>
      <w:r>
        <w:rPr>
          <w:b/>
        </w:rPr>
        <w:t>hennes²</w:t>
      </w:r>
      <w:r>
        <w:rPr>
          <w:b w:val="0"/>
        </w:rPr>
        <w:t xml:space="preserve"> försynta men inspirerande ord och över den ädla och klara stilen i </w:t>
      </w:r>
      <w:r>
        <w:rPr>
          <w:b/>
        </w:rPr>
        <w:t>hennes²</w:t>
      </w:r>
      <w:r>
        <w:rPr>
          <w:b w:val="0"/>
        </w:rPr>
        <w:t xml:space="preserve"> skrifter, det ljuset är stilla och varmt och välgörande. Det fladdrar aldrig av något oroligt skimmer. </w:t>
      </w:r>
      <w:r>
        <w:rPr>
          <w:b/>
        </w:rPr>
        <w:t>Hennes²</w:t>
      </w:r>
      <w:r>
        <w:rPr>
          <w:b w:val="0"/>
        </w:rPr>
        <w:t xml:space="preserve"> idéer ha varit på en gång klara och djupa, utgångna från en fullödig och harmonisk personhghet. De ha blivit vägledande för de bästa av den </w:t>
      </w:r>
      <w:r>
        <w:rPr>
          <w:b/>
        </w:rPr>
        <w:t>kvinnliga¹</w:t>
      </w:r>
      <w:r>
        <w:rPr>
          <w:b w:val="0"/>
        </w:rPr>
        <w:t xml:space="preserve"> bildningens främ- Jare i vårt land. Och jag tror, att man på </w:t>
      </w:r>
      <w:r>
        <w:rPr>
          <w:b/>
        </w:rPr>
        <w:t>henne²</w:t>
      </w:r>
      <w:r>
        <w:rPr>
          <w:b w:val="0"/>
        </w:rPr>
        <w:t xml:space="preserve"> skulle kunna utan överdrift tillämpa en stor diktares sköna ord: »Wer fär die Besten seiner Zeit gelebt, der hat gelebt fär alle Zeiten» — den, som har levat för de bästa i sin egen tid, har levat för alla tider. </w:t>
      </w:r>
      <w:r>
        <w:rPr>
          <w:b/>
        </w:rPr>
        <w:t>Hon²</w:t>
      </w:r>
      <w:r>
        <w:rPr>
          <w:b w:val="0"/>
        </w:rPr>
        <w:t xml:space="preserve"> är i själva verket — det är intet överord — en gestalt av sällsynt hög andlig resning; </w:t>
      </w:r>
      <w:r>
        <w:rPr>
          <w:b/>
        </w:rPr>
        <w:t>hennes²</w:t>
      </w:r>
      <w:r>
        <w:rPr>
          <w:b w:val="0"/>
        </w:rPr>
        <w:t xml:space="preserve"> verk, </w:t>
      </w:r>
      <w:r>
        <w:rPr>
          <w:b/>
        </w:rPr>
        <w:t>hennes²</w:t>
      </w:r>
      <w:r>
        <w:rPr>
          <w:b w:val="0"/>
        </w:rPr>
        <w:t xml:space="preserve"> namn och minne skola leva länge i vår bildningshistorias annaler. </w:t>
      </w:r>
      <w:r>
        <w:rPr>
          <w:b/>
        </w:rPr>
        <w:t>Hon²</w:t>
      </w:r>
      <w:r>
        <w:rPr>
          <w:b w:val="0"/>
        </w:rPr>
        <w:t xml:space="preserve"> har i hög grad varit buren av idealism i sin strävan, och dock går </w:t>
      </w:r>
      <w:r>
        <w:rPr>
          <w:b/>
        </w:rPr>
        <w:t>hennes²</w:t>
      </w:r>
      <w:r>
        <w:rPr>
          <w:b w:val="0"/>
        </w:rPr>
        <w:t xml:space="preserve"> första banbrytande pedagogiska verk ut på vad </w:t>
      </w:r>
      <w:r>
        <w:rPr>
          <w:b/>
        </w:rPr>
        <w:t>hon²</w:t>
      </w:r>
      <w:r>
        <w:rPr>
          <w:b w:val="0"/>
        </w:rPr>
        <w:t xml:space="preserve"> kallar '»Realism i undervisningen», såsom titeln lyder. </w:t>
      </w:r>
      <w:r>
        <w:rPr>
          <w:b/>
        </w:rPr>
        <w:t>Hon²</w:t>
      </w:r>
      <w:r>
        <w:rPr>
          <w:b w:val="0"/>
        </w:rPr>
        <w:t xml:space="preserve"> vill</w:t>
        <w:br/>
        <w:br/>
        <w:t xml:space="preserve">realism, </w:t>
      </w:r>
      <w:r>
        <w:rPr>
          <w:b/>
        </w:rPr>
        <w:t>hon²</w:t>
      </w:r>
      <w:r>
        <w:rPr>
          <w:b w:val="0"/>
        </w:rPr>
        <w:t xml:space="preserve"> reagerar emot formväsen och mekanisering, men </w:t>
      </w:r>
      <w:r>
        <w:rPr>
          <w:b/>
        </w:rPr>
        <w:t>hon²</w:t>
      </w:r>
      <w:r>
        <w:rPr>
          <w:b w:val="0"/>
        </w:rPr>
        <w:t xml:space="preserve"> inrymmer i sin realism icke blott de materiella utan även de andliga reala värdena. </w:t>
      </w:r>
      <w:r>
        <w:rPr>
          <w:b/>
        </w:rPr>
        <w:t>Hon²</w:t>
      </w:r>
      <w:r>
        <w:rPr>
          <w:b w:val="0"/>
        </w:rPr>
        <w:t xml:space="preserve"> har, kan man med skäl säga, funnit den harmoniska syntesen mellan idealism och realism. </w:t>
      </w:r>
      <w:r>
        <w:rPr>
          <w:b/>
        </w:rPr>
        <w:t>Hon²</w:t>
      </w:r>
      <w:r>
        <w:rPr>
          <w:b w:val="0"/>
        </w:rPr>
        <w:t xml:space="preserve"> har, som sagt, reagerat mot den torra mekanismen och mot det själlösa ordkram, som så ofta lagt sig som ett kvävande damm över skolböcker och undervisning. </w:t>
      </w:r>
      <w:r>
        <w:rPr>
          <w:b/>
        </w:rPr>
        <w:t>Hon²</w:t>
      </w:r>
      <w:r>
        <w:rPr>
          <w:b w:val="0"/>
        </w:rPr>
        <w:t xml:space="preserve"> har kämpat för den levande anden. Därigenom har </w:t>
      </w:r>
      <w:r>
        <w:rPr>
          <w:b/>
        </w:rPr>
        <w:t>hon²</w:t>
      </w:r>
      <w:r>
        <w:rPr>
          <w:b w:val="0"/>
        </w:rPr>
        <w:t xml:space="preserve"> verkat i högsta grad inspirerande på många generationer och oräkneliga äro de som </w:t>
      </w:r>
      <w:r>
        <w:rPr>
          <w:b/>
        </w:rPr>
        <w:t>hon²</w:t>
      </w:r>
      <w:r>
        <w:rPr>
          <w:b w:val="0"/>
        </w:rPr>
        <w:t xml:space="preserve"> indirekt påverkat genom hänförda lärjungar, vilka genom </w:t>
      </w:r>
      <w:r>
        <w:rPr>
          <w:b/>
        </w:rPr>
        <w:t>henne²</w:t>
      </w:r>
      <w:r>
        <w:rPr>
          <w:b w:val="0"/>
        </w:rPr>
        <w:t xml:space="preserve"> ha fått en varaktig kulturväckelse. </w:t>
      </w:r>
      <w:r>
        <w:rPr>
          <w:b/>
        </w:rPr>
        <w:t>Hon²</w:t>
      </w:r>
      <w:r>
        <w:rPr>
          <w:b w:val="0"/>
        </w:rPr>
        <w:t xml:space="preserve"> har velat göra historien och vid dess sida geografien, meddelade i åskådlig och fyllig skildring av folkens liv och verk fordom och nu, till kärnan i en humanistisk uppfostran. Med allt sitt framåtskådande sinne har </w:t>
      </w:r>
      <w:r>
        <w:rPr>
          <w:b/>
        </w:rPr>
        <w:t>hon²</w:t>
      </w:r>
      <w:r>
        <w:rPr>
          <w:b w:val="0"/>
        </w:rPr>
        <w:t xml:space="preserve"> även varit besjälad av kärleken till vår forntid. Och vår ungdomslitteratur äger knappast någon mer fascinerande bild av vår egen folkstams forntid än </w:t>
      </w:r>
      <w:r>
        <w:rPr>
          <w:b/>
        </w:rPr>
        <w:t>hennes²</w:t>
      </w:r>
      <w:r>
        <w:rPr>
          <w:b w:val="0"/>
        </w:rPr>
        <w:t xml:space="preserve"> berömda verk »Nordens första storhetstid», liksom ock </w:t>
      </w:r>
      <w:r>
        <w:rPr>
          <w:b/>
        </w:rPr>
        <w:t>hennes²</w:t>
      </w:r>
      <w:r>
        <w:rPr>
          <w:b w:val="0"/>
        </w:rPr>
        <w:t xml:space="preserve"> andra stora arbete, »Natur och arbetsliv i svenska bygder», givit nytt liv åt geografien. </w:t>
      </w:r>
      <w:r>
        <w:rPr>
          <w:b/>
        </w:rPr>
        <w:t>Hennes²</w:t>
      </w:r>
      <w:r>
        <w:rPr>
          <w:b w:val="0"/>
        </w:rPr>
        <w:t xml:space="preserve"> framstående pedagogiska tidskrift Verdandi behöver jag ju blott nämna.</w:t>
        <w:br/>
        <w:br/>
        <w:t xml:space="preserve">Detta i korthet om </w:t>
      </w:r>
      <w:r>
        <w:rPr>
          <w:b/>
        </w:rPr>
        <w:t>hennes²</w:t>
      </w:r>
      <w:r>
        <w:rPr>
          <w:b w:val="0"/>
        </w:rPr>
        <w:t xml:space="preserve"> livsgärning. Den är så känd och så omvittnad även i de handlingar, som här föreligga, att det torde vara obehövligt att längre orda därom. En stor och representativ samling av vår pedagogiska världs förgrundspersonligheter har uttalat sin önskan, att staten nu i </w:t>
      </w:r>
      <w:r>
        <w:rPr>
          <w:b/>
        </w:rPr>
        <w:t>hennes²</w:t>
      </w:r>
      <w:r>
        <w:rPr>
          <w:b w:val="0"/>
        </w:rPr>
        <w:t xml:space="preserve"> sjuttiofemte år, då </w:t>
      </w:r>
      <w:r>
        <w:rPr>
          <w:b/>
        </w:rPr>
        <w:t>hon²</w:t>
      </w:r>
      <w:r>
        <w:rPr>
          <w:b w:val="0"/>
        </w:rPr>
        <w:t xml:space="preserve"> står vid slutet av sitt livsverk, måtte giva </w:t>
      </w:r>
      <w:r>
        <w:rPr>
          <w:b/>
        </w:rPr>
        <w:t>henne²</w:t>
      </w:r>
      <w:r>
        <w:rPr>
          <w:b w:val="0"/>
        </w:rPr>
        <w:t xml:space="preserve"> ett välförtjänt erkännande och i deras motivering föreligga ojäviga vittnesbörd om det höga värdet av </w:t>
      </w:r>
      <w:r>
        <w:rPr>
          <w:b/>
        </w:rPr>
        <w:t>hennes²</w:t>
      </w:r>
      <w:r>
        <w:rPr>
          <w:b w:val="0"/>
        </w:rPr>
        <w:t xml:space="preserve"> gärning. Liknande vittnesbörd gives av skolöverstyrelsen, den i dessa ting högsta sakkunniga myndigheten. </w:t>
      </w:r>
      <w:r>
        <w:rPr>
          <w:b/>
        </w:rPr>
        <w:t>Hon²</w:t>
      </w:r>
      <w:r>
        <w:rPr>
          <w:b w:val="0"/>
        </w:rPr>
        <w:t xml:space="preserve"> har väl icke stått i statens tjänst, men </w:t>
      </w:r>
      <w:r>
        <w:rPr>
          <w:b/>
        </w:rPr>
        <w:t>hon²</w:t>
      </w:r>
      <w:r>
        <w:rPr>
          <w:b w:val="0"/>
        </w:rPr>
        <w:t xml:space="preserve"> har gjort staten och fäderneslandet en tjänst, vida betydelsefullare än mången av dem som formellt äro pensionsberättigade.</w:t>
        <w:br/>
        <w:br/>
        <w:t xml:space="preserve">Slutligen har ju staten, som jag antydde, genom sina åtgärder föranlett nedläggandet av </w:t>
      </w:r>
      <w:r>
        <w:rPr>
          <w:b/>
        </w:rPr>
        <w:t>hennes²</w:t>
      </w:r>
      <w:r>
        <w:rPr>
          <w:b w:val="0"/>
        </w:rPr>
        <w:t xml:space="preserve"> kanske käraste stiftelse, nämligen </w:t>
      </w:r>
      <w:r>
        <w:rPr>
          <w:b/>
        </w:rPr>
        <w:t>hennes²</w:t>
      </w:r>
      <w:r>
        <w:rPr>
          <w:b w:val="0"/>
        </w:rPr>
        <w:t xml:space="preserve"> seminarium. Jag uttalar icke något klander mot de statsåtgärder, som haft detta till följd. De ha enligt statsmakternas uppfattning varit en nödvändighet med hänsyn till den nuvarande tillgången på </w:t>
      </w:r>
      <w:r>
        <w:rPr>
          <w:b/>
        </w:rPr>
        <w:t>lärarinnor³</w:t>
      </w:r>
      <w:r>
        <w:rPr>
          <w:b w:val="0"/>
        </w:rPr>
        <w:t>, men å andra sidan innebära de ju en viss förpliktelse att taga hänsyn till den, som vid slutet av ett långt och fruktbärande liv ser sin skapelse ställas inför tvånget att upphöra.</w:t>
        <w:br/>
        <w:br/>
        <w:t xml:space="preserve">Nu säger säkerligen utskottets ärade ordförande, att emot dessa utläggningar ingenting är att invända, men vi önska, tillägger han utan tvivel, att Kungl. Maj:t skall pröva saken. Under vanliga förhållanden skulle jag också finna denna hållning fullkomligt på sin plats. Här föreligger emellertid en omständighet, som föranleder mig att erinra om ett yttrande på förmiddagen av en motionär i en annan fråga. Jag tror, att det var herr Hansén, som sade, att om riksdagen verkligen ville göra någonting i ett visst fall — jag vill minnas, att det då gällde en läkare — bör riksdagen göra det i år. Det föreligger här ett visst periculum in mora, kan man säga. </w:t>
      </w:r>
      <w:r>
        <w:rPr>
          <w:b/>
        </w:rPr>
        <w:t>Fröken²</w:t>
      </w:r>
      <w:r>
        <w:rPr>
          <w:b w:val="0"/>
        </w:rPr>
        <w:t xml:space="preserve"> Sandström är nu, som sagt, sjuttiofem år gammal och ganska sjuk och svag. All den utredning, som Kungl. Maj:t skulle kunna åstadkomma, ligger redan på kammarens bord. Saken har redan blivit fullständigt utredd. Skolöverstyrelsen har, som vi sett, yttrat sig på det mest erkännsamma sätt och enhälligt tillstyrkt den sakligt motiverade framställningen från de pedagogiska personligheter, som jag talat om. Frågan har vidare hänskjutits till statskontoret. Detta statens verk brukar ju icke gripas av någon förhastad hänförelse för obefogade angrepp på statskassan, men i detta fall har statskontoret i ganska anmärkningsvärda ordalag tillstyrkt framställningen. Statskontoret säger, att det synes föreligga ett ganska enastående fall och att det förefaller, som om ett bifall till framställningen icke skulle kunna ha några vittgående eller far-</w:t>
        <w:br/>
        <w:br/>
        <w:t>liga konsekvenser. Statskontoret tillstyrker därför beviljandet av den fyllnadspension, som det här är fråga om.</w:t>
        <w:br/>
        <w:br/>
      </w:r>
      <w:r>
        <w:rPr>
          <w:b/>
        </w:rPr>
        <w:t>Fröken²</w:t>
      </w:r>
      <w:r>
        <w:rPr>
          <w:b w:val="0"/>
        </w:rPr>
        <w:t xml:space="preserve"> Sandström åtnjuter ifrån </w:t>
      </w:r>
      <w:r>
        <w:rPr>
          <w:b/>
        </w:rPr>
        <w:t>lärarinnornas³</w:t>
      </w:r>
      <w:r>
        <w:rPr>
          <w:b w:val="0"/>
        </w:rPr>
        <w:t xml:space="preserve"> pensionsanstalt en pension av 1,000 kronor. </w:t>
      </w:r>
      <w:r>
        <w:rPr>
          <w:b/>
        </w:rPr>
        <w:t>Hon²</w:t>
      </w:r>
      <w:r>
        <w:rPr>
          <w:b w:val="0"/>
        </w:rPr>
        <w:t xml:space="preserve"> har vidare från Svenska </w:t>
      </w:r>
      <w:r>
        <w:rPr>
          <w:b/>
        </w:rPr>
        <w:t>lärarinnornas³</w:t>
      </w:r>
      <w:r>
        <w:rPr>
          <w:b w:val="0"/>
        </w:rPr>
        <w:t xml:space="preserve"> pensionsförening ett litet tillägg, vilket dock är ytterst obetydligt, nämligen 117 kronor, alltså tillsammans 1,117 kronor. På detta utgår visserligen dyrtidstillägg, men hela beloppet, som kan variera något år efter år, går i varje fall icke upp till 1,700 kronor allt som allt. Det vore nu meningen, att staten skulle utfylla denna lilla summa med det belopp, som skulle kunna göra totalsumman likvärdig med den, som en </w:t>
      </w:r>
      <w:r>
        <w:rPr>
          <w:b/>
        </w:rPr>
        <w:t>kvinnlig¹</w:t>
      </w:r>
      <w:r>
        <w:rPr>
          <w:b w:val="0"/>
        </w:rPr>
        <w:t xml:space="preserve"> rektor vid ett lärarinneseminarium i statens tjänst får. Det är detta, som har föreslagits i den av mig jämte herrar David Bergström, Åkerberg, Bergqvist, Mellén och </w:t>
      </w:r>
      <w:r>
        <w:rPr>
          <w:b/>
        </w:rPr>
        <w:t>fröken²</w:t>
      </w:r>
      <w:r>
        <w:rPr>
          <w:b w:val="0"/>
        </w:rPr>
        <w:t xml:space="preserve"> Hesselgren väckta motionen. Summan har sedan närmare uträknats av statskontoret, vilket föreslår det belopp, som herrarna se angivet i herr Wikströms reservation; statens utgift skulle alltså bli 4,068 kronor.</w:t>
        <w:br/>
        <w:br/>
        <w:t xml:space="preserve">Utskottets majoritet har avstyrkt förslaget, men i den nämnda reservationen tillstyrkes pensionen, sådan som den föreslagits av statskontoret. Jag skulle som sagt under andra förhållanden kunna inskränka mig till att uttala den livliga önskan och förhoppningen, för att icke säga förvissningen, att Kungl. Maj:t, efter den enhälliga tillstyrkan av myndigheterna, till ett annat år framlägger positivt förslag i saken. Jag skulle göra detta, om icke </w:t>
      </w:r>
      <w:r>
        <w:rPr>
          <w:b/>
        </w:rPr>
        <w:t>fröken²</w:t>
      </w:r>
      <w:r>
        <w:rPr>
          <w:b w:val="0"/>
        </w:rPr>
        <w:t xml:space="preserve"> Anna Sandström befunne sig i en så hög ålder och i ett sådant hälsotillstånd, att det förefaller önskvärt att icke dröja med det anspråkslösa statserkännande, som alla ändå känna sig övertygade om att riksdagen ett annat år skulle besluta. Fallet är i viss mån analogt med fallet Forsberg, där riksdagen på enskild OR gav den åldrige, högst förtjänte konstnären sitt erkännande i pensions-</w:t>
        <w:br/>
        <w:br/>
        <w:t>Jag tillåter mig vördsamt att vädja till kammaren att biträda reservationen, till vilken jag alltså yrkar bifall.</w:t>
      </w:r>
    </w:p>
    <w:p>
      <w:pPr>
        <w:pStyle w:val="Heading2"/>
      </w:pPr>
      <w:r>
        <w:t>5. Carl Svensson (Socialdemokraterna, man)</w:t>
      </w:r>
    </w:p>
    <w:p>
      <w:r>
        <w:rPr>
          <w:b w:val="0"/>
        </w:rPr>
        <w:t xml:space="preserve">Herr talman! Detta är ju ett sådant fall, där det, som jag för en stund sedan uttryckte det, gäller en ärespension. </w:t>
      </w:r>
      <w:r>
        <w:rPr>
          <w:b/>
        </w:rPr>
        <w:t>Fröken²</w:t>
      </w:r>
      <w:r>
        <w:rPr>
          <w:b w:val="0"/>
        </w:rPr>
        <w:t xml:space="preserve"> Sandström har ju icke varit anställd i statens tjänst, utan det belopp, som skulle tillerkännas </w:t>
      </w:r>
      <w:r>
        <w:rPr>
          <w:b/>
        </w:rPr>
        <w:t>henne²</w:t>
      </w:r>
      <w:r>
        <w:rPr>
          <w:b w:val="0"/>
        </w:rPr>
        <w:t xml:space="preserve"> av statsmedel, skulle utgå såsom ett erkännande ifrån statens sida åt den verksamhet, som </w:t>
      </w:r>
      <w:r>
        <w:rPr>
          <w:b/>
        </w:rPr>
        <w:t>hon²</w:t>
      </w:r>
      <w:r>
        <w:rPr>
          <w:b w:val="0"/>
        </w:rPr>
        <w:t xml:space="preserve"> utövat på undervisningsväsendets område. Utskottet hyser den uppfattningen, att man måste vara mycket försiktig, när det gäller att utdela sådana ärespensioner och icke annat än i undantagsfall besluta i sådana frågor annat än efter framställning från Kungl. Maj:t. I detta fall kan ingen utanför pedagogernas och de för undervisningsväsendet särskilt intresserades krets ha någon bestämd uppfattning om den livsgärning, som det är fråga om.</w:t>
        <w:br/>
        <w:br/>
        <w:t>Av denna anledning, och då ju en framställning i samma syfte ligger på Kungl. Maj:ts bord i väntan på ett avgörande, har utskottet ansett, att man icke borde bifalla föreliggande motion. Jag tror, att det finnes goda skäl för en sådan ståndpunkt. Det undandrager sig visserligen varje bedömande, vilka konsekvenser ett beslut i enlighet med motionen skulle kunna medföra, men enligt min övertygelse skulle det i varje fall innebära ett avvikande från den försiktiga linje, som det i sådana fall säkerligen är nödvändigt, att riksdagen följer.</w:t>
        <w:br/>
        <w:br/>
        <w:t xml:space="preserve">Jag skall i övrigt icke gå in på någon granskning av det anförande, som nyss hölls och som ju andades mycken beundran för </w:t>
      </w:r>
      <w:r>
        <w:rPr>
          <w:b/>
        </w:rPr>
        <w:t>frökens²</w:t>
      </w:r>
      <w:r>
        <w:rPr>
          <w:b w:val="0"/>
        </w:rPr>
        <w:t xml:space="preserve"> Sandströms gär-</w:t>
        <w:br/>
        <w:br/>
        <w:t>ning. Jag inskränker mig till att framställa yrkande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