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618</w:t>
      </w:r>
    </w:p>
    <w:p>
      <w:r>
        <w:rPr>
          <w:b/>
        </w:rPr>
        <w:t xml:space="preserve">Datum: </w:t>
      </w:r>
      <w:r>
        <w:t>1930-03-19</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Assar Åkerman (Socialdemokraterna, man)</w:t>
      </w:r>
    </w:p>
    <w:p>
      <w:r>
        <w:rPr>
          <w:b w:val="0"/>
        </w:rPr>
        <w:t>Herr talman! Då jag fogat en reservation vid detta lagförslag, skall jag be att med några ord få förklara min ståndpunkt i denna sak. Jag skall inte gå in på någon utredning om fördelarna och nackdelarna av laglottsinstitutet. Jag fäster mig mest vid, att statsmakterna så sent som för två år sedan ha lagstiftat om den saken, och då tycker jag för min del, att det är litet tidigt att redan nu åter taga upp frågan. Men att jag här reserverat mig beror på att jag anser, att vilken mening man nu än har om laglottsinstitutets berättigande, så är det väl ändå att gå väl långt, då man vill omgärda laglottsinstitutet med ett så starkt skydd, som man gjort här, då man inskränker avtalsfriheten på sätt som skett. Det står här skrivet, att en avsägelse av bröstarvinge av hans laglott inte skall vara gällande utan att han fått skäligt vederlag eller att det föreligger någon annan omständighet av dem, som äro upptagna här, som jag icke skall trötta herrarna med att uppräkna.</w:t>
        <w:br/>
        <w:br/>
        <w:t xml:space="preserve">Nu menar jag, att när man skriver en lag, bör man ju helst tänka på hur det ställer sig i de fall, som vanligast förekomma i människornas liv, och då vill jag anföra följande exempel. En man gör ett testamente, där han insätter sin </w:t>
      </w:r>
      <w:r>
        <w:rPr>
          <w:b/>
        </w:rPr>
        <w:t>hustru²</w:t>
      </w:r>
      <w:r>
        <w:rPr>
          <w:b w:val="0"/>
        </w:rPr>
        <w:t xml:space="preserve"> som arvinge till större delen av kvarlåtenskapen. Det är ett vanligt bo, varken fattigt eller rikt, låt oss säga med en behållning på ungefär 10,000 kronor. Då tillfrågas barnen, om de vilja godkänna detta testamente, och de säga, att det vilja de visst, och så skriva de på testamentet. Sedan dör den gamle, och enligt detta förslag skola barnen då ha rätt att komma till </w:t>
      </w:r>
      <w:r>
        <w:rPr>
          <w:b/>
        </w:rPr>
        <w:t>änkan²</w:t>
      </w:r>
      <w:r>
        <w:rPr>
          <w:b w:val="0"/>
        </w:rPr>
        <w:t xml:space="preserve"> och säga: »Det där stå vi inte vid. Vi ha inte fått vederlag, och därför skall du nu lämna ifrån dig, vad du fått enligt testamentet.&gt; Denna bestämmelse vilar naturligtvis på den presumtionen, att dessa barn gå till godkännandet av testamentet med en viss ovilja men göra det i alla fall, därför att de inte ha sin fulla frihet. Men nog är det underligt, att samma barn, som varit så försynta, när det gällde fadern, att de godkänt testamentet, antagas sedan skola vara så pass karska, att de träda fram till </w:t>
      </w:r>
      <w:r>
        <w:rPr>
          <w:b/>
        </w:rPr>
        <w:t>änkan²</w:t>
      </w:r>
      <w:r>
        <w:rPr>
          <w:b w:val="0"/>
        </w:rPr>
        <w:t xml:space="preserve"> och säga, att de inte vilja stå för avtalet längre. Jag tycker för min del, att det är en ganska egendomlig uppfattning av folks psyke, som träder fram här.</w:t>
        <w:br/>
        <w:br/>
        <w:t>Det ligger nu så till, att andra kammaren har godtagit denna lag, och jag anser alltså, att ett yrkande från min sida här på bifall till min reservation endast skulle ytterligare inveckla ärendet. Jag kan så mycket hellre avstå från att framställa något yrkande, som jag fått mycken liten anslutning till min uppfattning, och jag finner att ett yrkande, som ärendet nu ligger, endast skulle vara att ställa till trassel. Jag skall alltså inte göra något yrkande på denna punkt; jag har endast velat med några ord säga hur jag ser denna sak.</w:t>
      </w:r>
    </w:p>
    <w:p>
      <w:pPr>
        <w:pStyle w:val="Heading2"/>
      </w:pPr>
      <w:r>
        <w:t>2. Carl Axel Reuterskiöld (Utan partibeteckning, man)</w:t>
      </w:r>
    </w:p>
    <w:p>
      <w:r>
        <w:rPr>
          <w:b w:val="0"/>
        </w:rPr>
        <w:t>Herr talman! Jag har begärt ordet vid denna punkt, därför att jag kan inte ansluta mig vare sig till Kungl. Maj:ts av utskottet</w:t>
        <w:br/>
        <w:br/>
        <w:t>tillstyrkta förslag eller till någon av de reservationer, som föreligga vid detta lagförslag. Det torde få anses ganska ostridigt, att Kungl. Maj:ts av utskottet tillstyrkta förslag, som omfattar två korta och en något längre paragraf, innebär en ändring i gällande rätt.</w:t>
        <w:br/>
        <w:br/>
        <w:t>Vad återigen den gällande rätten angår, är den skisserad i den andra reservationen, som är avgiven av herr Larson i Lerdala m. fl., vari säges: »vad sålunda får anses utgöra gällande svensk rätt...» I detta uttryck ligger ju också en tvekan och ett tvivel, huruvida det är så alldeles säkert, att den där skisserade rätten verkligen är den nu gällande. Det kan väl hända, att man kan säga, att den i stort sett återger vad som vid domstolarna möjligen tillämpas, men jag betvivlar i allra högsta grad, att man kan säga, att här föreligger en fast och mycket omfattande praxis, på vilken man kan bygga ett säkert grundat påstående, helst Kungl. Maj:t har en annan uppfattning. Under sådana förhållanden synes det mig, som om det naturligaste och riktigaste vore att avslå hela lagförslaget.</w:t>
        <w:br/>
        <w:br/>
        <w:t>Den situation, som här föreligger, synes nämligen vara den, att vårt folk i allmänhet alls inte haft sitt intresse eller sin uppmärksamhet inriktade på hithörande frågor. Här har inte utbildat sig någon fast praxis i vare sig ena eller andra avseendet, inte heller någon allmän åskådning. När man då gör ett sådant lagförslag som detta och därvid gör ändringar i det, som synes gälla, är det inte alls säkert, att man i alla fall genom denna lagstiftning råkar på allt det, som borde råkas på. Det hela är alldeles för vagt. Tiden är efter min uppfattning inte mogen för detta lagförslag, även om lagberedningen i sin systematiseringslusta funnit det lämpligt och lyckligt att göra ett lagförslag och Kungl. Maj:t av pur veneration för lagberedningen accepterat detsamma, varpå lagutskottet med samma veneration sagt ja och amen, dock med reservation på den punkten av dels dess ordförande, dels ett ej ringa antal ledamöter, vilka senare yrkat avslag.</w:t>
        <w:br/>
        <w:br/>
        <w:t>Det kan inte hjälpas, att det under sådana förhållanden måste ställa sig så, att mitt avslagsyrkande likväl måste på det allra bestämdaste skiljas från den motivering, som i herr Larsons i Lerdala reservation givits, en motivering, som innebär, vilket också den ärade talarens yttrande här gav vid handen, en strävan att få bort laglotten eller åtminstone få den underkastad en närmare undersökning med avseende å dess bestånd, riktighet, omfattning och så vidare. För en sådan utredning och utveckling har jag inga tendenser eller önskningar, utan för mig står det klart, att avslaget skall vara ett rent och klart avslag utan annan motivering än som ligger i att man inte anser tiden mogen för detta trots sin korthet rätt så ingripande lagförslag.</w:t>
        <w:br/>
        <w:br/>
        <w:t>Jag ber därför, herr talman, då jag inte anser det lönt att vidare upptaga tiden med en längre utläggning, att helt enkelt få yrka avslag på det föreliggande lagförslaget.</w:t>
      </w:r>
    </w:p>
    <w:p>
      <w:pPr>
        <w:pStyle w:val="Heading2"/>
      </w:pPr>
      <w:r>
        <w:t>3. Georg Bissmark (Första kammarens nationella parti, man)</w:t>
      </w:r>
    </w:p>
    <w:p>
      <w:r>
        <w:rPr>
          <w:b w:val="0"/>
        </w:rPr>
        <w:t>Herr talman! Jag tror, att då lagberedningen framlagt sitt förslag till lag om arvsavtal, har den nog haft den uppfattningen, att den ganska nära anslöt sig till gällande rättsuppfattning. Frågan om giltighet av arvsavtal har ju alltid varit föremål för rätt livlig diskussion, åtminstone i de lagförslag, som förelegat, och även i doktrinen. Jag vill erinra om att lagkommittén förklarade avsägelse av laglott ogiltig. Däremot kunde arvinge enligt kommittén avstå från arvsrätt, som icke hade laglotts karaktär. Äldre lagberedningen skärpte däremot detta, så att också avsägelse av arvsrätt överhuvud taget icke var bindande. Av våra rättslärare anslöt sig professor Nordling till den strängare riktningen, under det att professor Winroth ansåg avsägelse av laglott vara tillåten endast i det fall, att vederlag lämnats, d. v. s. samma ståndpunkt, som intagits här av lagberedningen och Kungl. Maj:t. Frå-</w:t>
        <w:br/>
        <w:br/>
        <w:t>gan har ju varit föremål för prövning i åtskilliga fall av högsta domstolen. I samtliga dessa fall har det dock rört sig om vederlag, utom i ett enda, men där hade egendomen övergått från arvingen till arvingens barn, d. v. s. just ett av de fall, som äro förutsedda här i det nu föreliggande förslaget, då avsägelse av laglott skulle godkännas.</w:t>
        <w:br/>
        <w:br/>
        <w:t>Ett annat fall föreligger, där högsta domstolen godkänt en avsägelse av laglott, fastän icke fullt vederlag lämnats. Emellertid visar en undersökning av handlingarna i detta mål, att det från ena sidan var styrkt, att åtskilliga belopp hade lämnats till käranden, och vidare var det tvivelaktigt, huruvida inte även åtskilliga andra belopp voro lämnade. Det företeddes vissa postkvitton på avsända försändelser och så vidare, som skulle styrka detta. Det finns alltså inte något i prejudikaten, som ger fog för de uttalanden, som förekomma i reservanternas utlåtande här, där de säga, att den nu gällande lagen skulle klart utvisa, att avsägelse av laglott godkännes, även om icke vederlag lämnats, och att detta förslag, som här framlägges, skulle utgöra en betydande förändring i nu gällande rätt. Det står i reservationen, att enligt gällande svensk rätt avsägelse av arvslott godkännes. Det är så långt ifrån, att det är fallet, att man snarare med allt fog kan säga, att gällande svensk rätt ansluter sig ganska nära till den ståndpunkt, lagberedningen här intagit. Under sådana förhållanden synes det mig, som om den räddhåga, herr Reuterskiöld uttalar för att under nuvarande situation skrida till en lagstiftning, vore tämligen ogrundad. Det finns naturligtvis däremot mycket starka skäl, som tala för att man, när man nu reglerar testamentsrätten, tar upp även dessa viktiga och svåra frågor.</w:t>
        <w:br/>
        <w:br/>
        <w:t>Jag anser för min del laglotten vara ett för vårt rättsväsen synnerligen viktigt institut, som man icke kan avskaffa eller uppluckra, utan att man riskerar att råka in i förhållanden, som man icke förutsett. Jag vill erinra om hur laglotten har uppkommit. Det är ett arv, som vi fått från franska revolutionen, och dess uppgift var att omöjliggöra samlandet på få händer av alltför stora förmögenheter. Man ville bryta det system, som utbildat sig i Frankrike, att äldste sonen fick ensam största delen av förmögenheten. Institutet spred sig över hela Europa och finns nu i de flesta europeiska länder, dock icke i England. Hur denna brist verkat i England, framgår av det system, som där råder, att äldste sonen i betydande omfattning övertar familjens egendom.</w:t>
        <w:br/>
        <w:br/>
        <w:t>Jag vill tillägga, att i England hava kraftiga röster höjts för att införa laglottsinstitutet. Det har sagts här i en motion, att röster överallt höjas för revision av laglotten. Man får nästan den föreställningen, att det skulle vara en rörelse för att avskaffa laglotten i andra länder. Jag tror mig emellertid kunna meddela, att icke på något håll något försök gjorts att få bort laglotten i de länder som infört den. Det är endast i doktrinen, som enstaka rättslärare diskuterat själva problemet, vilket naturligtvis alltid kan diskuteras, även om man såsom jag är på det klara med att laglotten bör bibehållas. Jag tror, att den är alltför fast rotad i det allmänna rättsmedvetandet, för att man skulle ha den ringaste anledning att bryta ned den. Därför ställer man sig inte vidare tillmötesgående mot den reservation, som vill riva upp det beslut om laglottens bibehållande, som fattades år 1928. Det var då, som striden om laglotten stod. Frågan diskuterades mycket i lagutskottet, och även lagberedningen hade framlagt en fullständig utredning. TI lagutskottet var det två reservanter, som 1 en reservation sade, att de tillstyrkte förslaget men ville hava frihet att taga upp frågan igen, då förslaget till lag om testamente framlades. Om något yrkande då gjorts om att detta skulle införas i utskottets motivering, hade ett sådant yrkande alldeles säkert blivit avslaget, och om ett yrkande framställts i riksdagen, att riksdagen skulle antaga arvslagen med den reservationen. att den skulle vilja framdeles ge sig in på att omgestalta laglotten, hade säkerligen detta också blivit avslaget. Därför förvånar det mig, att det</w:t>
        <w:br/>
        <w:br/>
        <w:t>två år efter antagandet av en lag som denna — som dock inte är någon dagsländelag utan avsedd att ersätta 1734 års lag och bör få tid att arbeta in sig i det allmänna medvetandet — föreligger ett förslag om att ställa denna viktiga grundsats under ny omprövning genom återremiss till lagberedningen. Detta förstår jag icke.</w:t>
        <w:br/>
        <w:br/>
        <w:t>Kommer jag så till själva frågan om det är riktigt och nyttigt att frånkänna en avsägelse av laglotten verkan, så får jag säga, att för mig ställer sig problemet till stor del sålunda: Äro barnen i allmänhet i den ställningen, att de kunna göra tillräckligt motstånd mot föräldrarna, som vilja hava deras godkännande av ett testamente? Är det ett verkligt avtal som då träffas? Stå inte barnen i alltför beroende ställning? De äro likväl bundna med så många band av tacksamhet och tillgivenhet till föräldrarna, att de vant sig att lyda 'deras tillsägelser. En sådan bön av föräldrarna kan ofta verka såsom ett bud, som måste hörsammas, och det är inte lämpligt att ett avtal ingås, i vilket parterna äro så föga jämställda.</w:t>
        <w:br/>
        <w:br/>
        <w:t xml:space="preserve">Nu säger man visserligen, att detta icke kan medföra så stora vådor. Men det kan dock leda till ganska mycket. Jag vill erinra om, att det kan leda till att en förmögenhet övergår från fadern, den ende kvarlevande av föräldrarna, till styvmodern och från </w:t>
      </w:r>
      <w:r>
        <w:rPr>
          <w:b/>
        </w:rPr>
        <w:t>henne²</w:t>
      </w:r>
      <w:r>
        <w:rPr>
          <w:b w:val="0"/>
        </w:rPr>
        <w:t xml:space="preserve"> till </w:t>
      </w:r>
      <w:r>
        <w:rPr>
          <w:b/>
        </w:rPr>
        <w:t>hennes²</w:t>
      </w:r>
      <w:r>
        <w:rPr>
          <w:b w:val="0"/>
        </w:rPr>
        <w:t xml:space="preserve"> arvingar, så att barnen genom ett godkännande, som avgives på förhand, berövas all sin del i fädernearvet. Ha de då förut godkänt, att även mödernearvet får tillfalla fadern, går det hela ifrån dem. Rätt olämpliga förhållanden kunna också eljest uppstå genom att man på förhand godkänner ett dylikt avtal. Det finns omyndiga och myndiga barn. De myndiga godkänna, men de omyndiga kunna icke godkänna testamentet. Tiden går och testamentet blir aldrig godkänt av de senare. Så kommer dödsfallet. Nu äro alla myndiga, och den ena delen av syskonkretsen är utesluten från arv, under det att den andra, som inte godkänt testamentet, får ärva. Sådant leder inte till sämja i syskonkretsen och framkallar bitterhet mot föräldrarna, som på det sättet gjort åtskillnad mellan barnen.</w:t>
        <w:br/>
        <w:br/>
        <w:t>Jag vill anföra ytterligare ett skäl, som inte torde vara utan all betydelse. Det har ju från riksdagens sida uttalats en önskan om, att man skall upphäva fideikommissen. Jag tror inte, att, om man upphävde laglotten eller gav avsägelse av densamma bindande kraft, detta i regel skulle leda till, att man i stor utsträckning började lämna tillgångarna åt den äldste sonen. Men om fideikommissen avskaffades, är det fara värt, om inte traditionen komme att medföra, att det bildades ett fideikommiss, visserligen bara för den närmaste arvtagarens tid, i det att fadern framtvingar överenskommelse mellan samtliga barnen, att äldste sonen efter faderns död skall övertaga de hittillsvarande fideikommissegendomarna. Man kan mycket starkt befara en sådan utveckling. Det är just någonting sådant, som inträffat i sådana länder, där laglott inte finnes. Då är det av en viss vikt, att man inte godkänner avsägelse på förhand av laglotten. Problemet är inte så enkelt, som mången tror.</w:t>
        <w:br/>
        <w:br/>
        <w:t xml:space="preserve">Vidare har det i diskussionen sagts, att det är bra hårt, att en fattig </w:t>
      </w:r>
      <w:r>
        <w:rPr>
          <w:b/>
        </w:rPr>
        <w:t>änka²</w:t>
      </w:r>
      <w:r>
        <w:rPr>
          <w:b w:val="0"/>
        </w:rPr>
        <w:t xml:space="preserve">, som har en liten behållning, men blir försörjd av sin </w:t>
      </w:r>
      <w:r>
        <w:rPr>
          <w:b/>
        </w:rPr>
        <w:t>dotter²</w:t>
      </w:r>
      <w:r>
        <w:rPr>
          <w:b w:val="0"/>
        </w:rPr>
        <w:t xml:space="preserve">, inte skulle kunna överenskomma med </w:t>
      </w:r>
      <w:r>
        <w:rPr>
          <w:b/>
        </w:rPr>
        <w:t>dottern²</w:t>
      </w:r>
      <w:r>
        <w:rPr>
          <w:b w:val="0"/>
        </w:rPr>
        <w:t xml:space="preserve"> att denna skall få hela boet efter </w:t>
      </w:r>
      <w:r>
        <w:rPr>
          <w:b/>
        </w:rPr>
        <w:t>hennes²</w:t>
      </w:r>
      <w:r>
        <w:rPr>
          <w:b w:val="0"/>
        </w:rPr>
        <w:t xml:space="preserve"> bortgång och få denna överenskommelse godkänd av syskonen. Ja, sådant förekommer ju mycket ofta, men det ordnar sig ju på ett mycket praktiskt sätt, därigenom att </w:t>
      </w:r>
      <w:r>
        <w:rPr>
          <w:b/>
        </w:rPr>
        <w:t>dottern²</w:t>
      </w:r>
      <w:r>
        <w:rPr>
          <w:b w:val="0"/>
        </w:rPr>
        <w:t xml:space="preserve"> tillförsäkras en viss årlig ersättning för att </w:t>
      </w:r>
      <w:r>
        <w:rPr>
          <w:b/>
        </w:rPr>
        <w:t>hon²</w:t>
      </w:r>
      <w:r>
        <w:rPr>
          <w:b w:val="0"/>
        </w:rPr>
        <w:t xml:space="preserve"> skött modern, och då har </w:t>
      </w:r>
      <w:r>
        <w:rPr>
          <w:b/>
        </w:rPr>
        <w:t>hon²</w:t>
      </w:r>
      <w:r>
        <w:rPr>
          <w:b w:val="0"/>
        </w:rPr>
        <w:t xml:space="preserve"> fått en fordran i stället. Det kan också hända, om ett sådant avtal är träffat och de andra syskonen hava avstått sin laglott till förmån för denna </w:t>
      </w:r>
      <w:r>
        <w:rPr>
          <w:b/>
        </w:rPr>
        <w:t>syster²</w:t>
      </w:r>
      <w:r>
        <w:rPr>
          <w:b w:val="0"/>
        </w:rPr>
        <w:t xml:space="preserve">, att modern strax därefter dör, och då har ju inte </w:t>
      </w:r>
      <w:r>
        <w:rPr>
          <w:b/>
        </w:rPr>
        <w:t>dottern²</w:t>
      </w:r>
      <w:r>
        <w:rPr>
          <w:b w:val="0"/>
        </w:rPr>
        <w:t xml:space="preserve"> lämnat någon valuta för den förmån, </w:t>
      </w:r>
      <w:r>
        <w:rPr>
          <w:b/>
        </w:rPr>
        <w:t>hon²</w:t>
      </w:r>
      <w:r>
        <w:rPr>
          <w:b w:val="0"/>
        </w:rPr>
        <w:t xml:space="preserve"> erhållit.</w:t>
        <w:br/>
        <w:br/>
        <w:t>Herr Fehr har i sin motion sagt, att det vore bra tråkigt, om inte en person, som lämnar efter sig ett eget hem, skulle kunna lämna detta egnahem åt ett</w:t>
        <w:br/>
        <w:br/>
        <w:t>av barnen och därvid säga till de andra, att »det är för litet att dela. Skulle det delas på många händer, så bleve det ingen glädje med det.» Detta brukar i regel kunna ordnas på det sättet, att i testamentet föreskrives, att den och den skall få övertaga hemmet för en köpeskilling, som bestämmes av testator och som ställer sig ganska låg — fastän vanligtvis icke så låg, att laglotten skulle kränkas. På det sättet ordnas saken i all sämja. Det kan hända, att syskonen anse, att en broder fått egnahemmet för billigt. Men i det hela taget äro de nog ganska belåtna med att det gamla hemmet bevaras så att de kunna hava en liten känning med det. På det sättet ordnas saken fördelaktigt. För detta fordras intet förhandsgodkännande av syskonen. Men om, såsom herr Fehr ansåg lämpligt, en får hemmet och de andra ingenting, då har man skapat en bitterhet i sinnena, som varar kanske hela livet igenom, och minnet av föräldrarna kommer att förmörkas av den begångna orättvisan. Jag tror, att barn i allmänhet äro mycket känsliga för, att de behandlas rättvist av föräldrarna.</w:t>
        <w:br/>
        <w:br/>
        <w:t>Det finns alltså ganska mycket, som talar för att man på denna punkt ställer sig på den ståndpunkt, som lagberedningen intagit. Man inför ingenting nytt utan ansluter sig på alla punkter till en uppfattning, som för närvarande får anses gälla, med den lilla modifikation, som ligger däri, att man drar åt något i fråga om rätten att avsäga sig laglotten. När man går till en reglering av testamentsrätten, skulle jag mycket beklaga, om man uteslöte ett så viktigt kapitel som detta.</w:t>
      </w:r>
    </w:p>
    <w:p>
      <w:pPr>
        <w:pStyle w:val="Heading2"/>
      </w:pPr>
      <w:r>
        <w:t>4. Hjalmar Hammarskjöld (Utan partibeteckning, man)</w:t>
      </w:r>
    </w:p>
    <w:p>
      <w:r>
        <w:rPr>
          <w:b w:val="0"/>
        </w:rPr>
        <w:t>Herr talman! Det torde vara allmänt erkänt, att ett avtal om blivande arv är någonting ganska betänkligt. Dels är det ju så, att man då avtalar om någonting, som man icke har och icke kan vara riktigt säker på att någonsin få, och dels förhåller det sig även på det sättet, att ett dylikt avtal så lätt slutes under intrycket av en stark obehörig påverkan, som dock icke kan uppvisas och därigenom leda till avtalets upphävande. I detta senare avseende gäller ju tyvärr, att den grannlage och hänsynsfulle blir illa ställd, under det att den brutale och hänsynslöse nog reder sig.</w:t>
        <w:br/>
        <w:br/>
        <w:t>Nu finner man också, att i lagens första paragraf stadgas: »Har någon i fråga om arv efter den, som ännu lever, träffat avtal med annan än denne, vare det ogillt.&gt; Denna bestämmelse kan enligt mitt förmenande icke annat än gillas. Det förhåller sig nog ej blott enligt förslaget, utan även i verkligheten något annorlunda, då avtalet slutes med den blivande arvlåtaren själv. Det förhåller sig då annorlunda, men endast i den mån som den arvlåtare, med vilken man sluter avtal, kunnat genom testamente uppnå samma resultat, som han nu uppnår genom avtalet. I detta fall tjänar avtalet bara till att förenkla formaliteterna — om man så vill — befria från en del omgång, men resultatet till arvingens nackdel skulle ha kunnat uppnås även utan arvingens medverkan.</w:t>
        <w:br/>
        <w:br/>
        <w:t>Men att gå längre och även tillåta avtal, när det gäller laglotten, vilken ju icke kan genom testamente inskränkas, anser jag för min del vara synnerligen betänkligt. Vi hörde senast i statsrådets anförande, att några mycket stora auktoriteter under en icke alltför länge sedan förfluten tid ansågo avtal om laglotten vara ogiltiga. Den praxis, som nu åberopas — en del domar av högsta domstolen — är ju icke synnerligen omfattande. De sju domar, som jag i detta sammanhang funnit citerade i lagberedningens förslag, har Jag gått igenom och har då funnit, att de flesta innehålla särskilda moment, som kunna hava inverkat, t. ex. att det varit fråga om godkännande av inbördes testamente, sedan den ena av testatorerna redan avlidit, eller att själva avtalet givits formen av ett kvitto på förskott å blivande arv: i samtliga fall gäller ju för övrigt, såsom herr statsrådet mycket riktigt anmärkte, att det alltid varit fråga om vederlag. En regel, som skulle utsträcka giltigheten av avtal med arvlåtaren själv till att gälla även laglott, kan sålunda enligt mitt förmenade icke godkännas.</w:t>
        <w:br/>
        <w:br/>
        <w:t>I förslaget har icke heller upptagits något allmänt godkännande, utan där stadgas villkor för godkännande, villkor, som delvis äro tämligen invecklade, delvis icke tillfyllestgörande och det huvudsakliga villkoret, att det skall lämnas skäligt vederlag, har en synnerligen obestämd karaktär. Det är nämligen inte alls utsagt, att det skäliga vederlaget skall utgöras av »egendom, svarande mot laglotten» eller ens vara ett ekonomiskt vederlag; ett ekonomiskt otillräckligt vederlag synes kunna suppleras på annat sätt. I alla händelser är vederlagets skälighet föremål för en fri prövning, för ett fritt skön, som kan föra mycket långt.</w:t>
        <w:br/>
        <w:br/>
        <w:t>För min del kan jag sålunda icke vara med om den kungl. propositionen i denna del, sådan den tillstyrkts av utskottet. Men kan jag då vara med om reservationen? Nej, det kan jag inte heller vara, ty enligt mitt förmenande uteslutas därmed också några riktiga bestämmelser i den föreslagna lagen, och dessutom är reservationens motivering uppenbarligen inriktad på, att man inom en icke alltför avlägsen framtid skall lagstifta om laglottens avsägelse och då göra avsägelsen giltig i flera fall, än som nu av Kungl. Maj:t föreslagits. Herr Reuterskiölds förslag om rent avslag på hela lagen, finner jag inte heller tillfyllestgörande. Därigenom åstadkommes nämligen en obestämdhet, en lucka, som medför, att praxis kan komma att gå i en riktning, som jag inte anser önskvärd. Det är kanske opolitiskt att säga det, men en utveckling 1 den riktningen kan tränga in i lagstiftningen även tack vare en ofta synnerligen stark önskan att vinna överensstämmelse med något av våra grannfolk. Intetdera av de tre förslag, som äro framkomna, utskottets, reservanternas eller herr Reuterskiölds förslag, kan jag sålunda ansluta mig till. Utan egentligt hopp om framgång, men för att i alla händelser få min åsikt framställd och preciserad, vill jag då göra det yrkandet, att första styckets senare del strykes, så att paragrafen skulle få denna lydelse: »Avsäger sig arvinge, genom godkännande av testamente eller eljest, skriftligen hos arvlåtaren sin rätt till arv, vare det gällande. Bröstarvinge äge dock utfå sin laglott.» Punkt och slut på detta stycke. De två senare styckena har jag ingenting att erinra emot.</w:t>
        <w:br/>
        <w:br/>
        <w:t>Det är således mitt yrkande, att första stycket i 2 8 inskränkes till första meningen samt följande ord av den andra meningen: »Bröstarvinge äge dock utfå sin laglott.»</w:t>
      </w:r>
    </w:p>
    <w:p>
      <w:pPr>
        <w:pStyle w:val="Heading2"/>
      </w:pPr>
      <w:r>
        <w:t>5. Karl Schlyter (Socialdemokraterna, man)</w:t>
      </w:r>
    </w:p>
    <w:p>
      <w:r>
        <w:rPr>
          <w:b w:val="0"/>
        </w:rPr>
        <w:t>Herr talman! När jag vid detta lagförslag instämmer i det redan framställda yrkandet om avslag på hela förslaget, vill jag gärna förutskicka, att jag helt och fullt förenar mig med lagutskottets ordförande 1 det yttrande han hade i början av debatten, då han uttryckte sin synnerliga tillfredsställelse över det utmärkta sätt, på vilket det stora, förut behandlade förslaget till lag om testamente är avfattat såväl till form som innehåll. På det lilla lagförslag, varom nu är fråga, d. v. s. förslaget till lag om arvsavtal, har avslag yrkats av två föregående talare, nämligen först av herr Larson i Lerdala, som är en av reservanterna och som på förhand begärt ordet vid detta lagförslag för att få framställa yrkande om bifall till reservationen, och sedermera av herr Reuterskiöld. Med anledning av herr Reuterskiölds yttrande, som även gick ut på avslag å lagen i dess helhet men med strykande av motiveringen, ber jag att få säga, att sedan andra kammaren för sin del redan antagit lagen och det alltså icke låter sig göra att inom riksdagen åstadkomma en samfäld motivering för ett avslag, anser Jag för min del det inte vara behövligt att ställa under första kammarens prövning frågan om denna motivering. Med frånträdande av yrkandet i reservationen, såvitt angår motiveringen, ber jag därför att få ansluta mig till herr Reuterskiölds yrkande om rent avslag på hela lagen.</w:t>
        <w:br/>
        <w:br/>
        <w:t>Vad betyder då, herr talman, ett rent avslagsyrkande på hela lagen? Det</w:t>
        <w:br/>
        <w:br/>
        <w:t>betyder icke något annat än ett yrkande om uppskov. Om lagen faller, betyder detta endast, att den kommer igen om ett par år. Revisionen av ärvdabalken underställes ju riksdagen i tre etapper: den första etappen kom år 1928, då lagen om arv antogs, nu föreligger lagen om testamente, och om ett par år kommer tredje delen, som handlar om boutredning och skifte.</w:t>
        <w:br/>
        <w:br/>
        <w:t>Den fråga, som i en del av sin omfattning beröres i detta lagförslag, nämligen frågan om laglotten, har, såsom förut i kväll nämnts, för två år sedan varit föremål för viss prövning i samband med lagen om arv. Den kommer också, herr talman, att bli föremål för prövning 1 en annan del av sin omfattning, när om ett par år frågan om boutredning och skifte kommer upp. Laglottsfrågan är av den beskaffenhet, att den tränger fram på alla områden i ärvdabalken. Det invändes också för två år sedan, när lagen om arv antogs separat, att hela ärvdabalken har ett så starkt inbördes sammanhang, att det funnes betänkligheter mot att bryta ut en del och taga intestatsarvsrätten för sig. Denna invändning har ett alldeles speciellt fog beträffande frågan om laglotten, och detta var anledningen till den av justitieministern berörda reservationen vid 1928 års utskottsutlåtande, vari det framhölls, att man — för att kunna se denna fråga i hela dess sammanhang — borde avvakta ärvdabalkens fortsatta revision och alldeles speciellt behandlingen av testamentsrätten. I sin praktiska gestaltning innebär ju laglottsrätten i själva verket en inskränkning i arvlåtarens rätt att testamentera över sitt gods. Den rätta översikten över laglottens innebörd får man alltså först i samband med behandlingen av testamentsrätten.</w:t>
        <w:br/>
        <w:br/>
        <w:t>Nu vill jag inte på denna punkt, d. v. s. i fråga om arvsavtal, taga upp hela spörsmålet om laglottsrätten. Den frågan faller under de motioner, som äro väckta angående en revision av gällande bestämmelser i ämnet. Dessa motioner ha avstyrkts av lagutskottet, och till den frågan återkomma vi på ett senare stadium. För närvarande vill jag endast hålla mig till det nu föreliggande spörsmålet angående rätten för arvlåtaren och hans bröstarvingar att överenskomma angående laglotten.</w:t>
        <w:br/>
        <w:br/>
        <w:t>Justitieministern ingick nyss till en början på frågan om vad som är att anse som gällande rätt i detta avseende. Jag skall inte trötta kammaren vid denna sena timme på natten med att i detalj gå in på detta spörsmål. Liksom mina medreservanter i utskottet har jag utgått ifrån, att när lagberedningen, för vilken vi hyst och hysa den allra största respekt, uttalat sig i frågor om vad som kan anses vara gällande rätt, vi utan vidare kunna bygga på lagberedningens uttalande. Beredningen yttrar å sidan 400 i sitt betänkande, att den gamla uppfattningen nu måste anses övergiven, den gamla uppfattning nämligen, att man icke ägde genom avtal med arvlåtaren förfoga över sin laglott, och beredningen fortsätter: »Rättsfall från senare tid utvisa icke blott att bröstarvinge kan bindande avstå från sin laglottsrätt utan även att benägenhet finnes för godkännande av en sådan förklaring utan avseende å värdet av det vederlag, som därvid må hava betingats.&gt; Vad som förekommit i diskussionen i dag synes icke ägnat att jäva riktigheten av detta lagberedningens uttalande. Jag utgår alltså ifrån, att vad som här föreslås i lagförslaget är en ändring av gällande rätt och en betydande skärpning av vad laglottsrätten för närvarande innebär.</w:t>
        <w:br/>
        <w:br/>
        <w:t>I sak ingick herr justitieministern slutligen på frågan, huruvida detta lagförslag var befogat eller inte och åberopade då till en början, att barnen stå i en så beroende ställning till sina föräldrar, att det måste anses olämpligt att godkänna avtal mellan föräldrar och barn i frågor som dessa. Jag ber då att få fästa kammarens uppmärksamhet på att det här icke är fråga om att godkänna ett avtal mellan föräldrar och deras omyndiga barn, utan det gäller att pröva verkan av ett avstående från laglott av barn, komna till</w:t>
        <w:br/>
        <w:br/>
        <w:t>myndig ålder. Jag skall be att få nämna den situation, som jag tror är den normala, vid vilken denna lag skulle komma att tillämpas.</w:t>
        <w:br/>
        <w:br/>
        <w:t xml:space="preserve">Ett par föräldrar hava sparat ihop ett litet kapital. Barnen ha vuxit upp, blivit myndiga och fått sin ställning i livet. De äro i tillfälle att försörja sig själva. Föräldrarna överväga, huru de skola kunna ordna det, så att den efterlevande maken, i vanliga fall </w:t>
      </w:r>
      <w:r>
        <w:rPr>
          <w:b/>
        </w:rPr>
        <w:t>hustrun²</w:t>
      </w:r>
      <w:r>
        <w:rPr>
          <w:b w:val="0"/>
        </w:rPr>
        <w:t xml:space="preserve">, skall ha sitt skäliga underhåll, när mannen faller bort. De säga sig då, att det inte finns större besparingar i boet än vad som behöves för att </w:t>
      </w:r>
      <w:r>
        <w:rPr>
          <w:b/>
        </w:rPr>
        <w:t>änkan²</w:t>
      </w:r>
      <w:r>
        <w:rPr>
          <w:b w:val="0"/>
        </w:rPr>
        <w:t xml:space="preserve"> skall kunna leva på dem under sina återstående dagar. De överväga kanske lämpligheten av att för dessa besparingar inköpa en livränta, vartill de skulle ägt en oomtvistlig rätt. Men föräldrarna vilja inte gärna göra detta, ty då skulle hela besparingen gå åt; kan däremot </w:t>
      </w:r>
      <w:r>
        <w:rPr>
          <w:b/>
        </w:rPr>
        <w:t>änkan²</w:t>
      </w:r>
      <w:r>
        <w:rPr>
          <w:b w:val="0"/>
        </w:rPr>
        <w:t xml:space="preserve"> reda sig på en mindre del av sparkapitalet, kommer resten att gå i arv till barnen. De komma då överens om att skriva ett inbördes testamente av det sedvanliga innehållet, att den efterlevande skall sitta i orubbat bo, samt tillkalla barnen och fråga dem, om de godkänna detta testamente. Barnen finna det endast naturligt, att föräldrarna få disponera över sina sparade pengar på detta sätt, och lämna, såsom sig bör, sitt godkännande av testamentet. Jag vädjar till kammarens ledamöter, om inte detta är en fullt lojal anordning utav föräldrarna och ett fullt lojalt avtal mellan föräldrar och barn. Jag tvivlar för min del inte heller ett ögonblick på att domstolarna skulle godkänna ett sådant avtal som detta. Tfall efter faderns död något av barnen skulle vara till den grad inhonnett, att det skulle vilja bryta sitt ord, givet föräldrarna i faderns livstid, och utkräva sin laglott, tvivlar jag alltså inte ett ögonblick på att domstolarna skulle vägra att främja ett dylikt avtalsbrott.</w:t>
        <w:br/>
        <w:br/>
        <w:t xml:space="preserve">Nu föreslås i lagen en ändring av vad som efter min tro alltså nu är gällande rätt med avseende å en dylik situation. Det föreslås den ändringen, att barnen efter faderns död inte behöva stå vid sitt ord utan, upplysta av juridiska rådgivare om vad den nya lagen av år 1930 innehåller, kunna utkräva sin laglott. Då svarar justitieministern, att det förekommer även andra fall, t. ex. det där fallet, då en styvmoder skulle få övertaga arvet och detta därigenom helt och hållet gå barnen förbi. Jag vill verkligen fråga: Ifall en far på äldre dagar, sedan hans första </w:t>
      </w:r>
      <w:r>
        <w:rPr>
          <w:b/>
        </w:rPr>
        <w:t>hustru²</w:t>
      </w:r>
      <w:r>
        <w:rPr>
          <w:b w:val="0"/>
        </w:rPr>
        <w:t xml:space="preserve"> har gått bort — det är det fallet, som så ofta brukar dragas fram i diskussionen — gifter sig t. ex. med sin </w:t>
      </w:r>
      <w:r>
        <w:rPr>
          <w:b/>
        </w:rPr>
        <w:t>hushållerska³</w:t>
      </w:r>
      <w:r>
        <w:rPr>
          <w:b w:val="0"/>
        </w:rPr>
        <w:t xml:space="preserve"> och under påverkan av </w:t>
      </w:r>
      <w:r>
        <w:rPr>
          <w:b/>
        </w:rPr>
        <w:t>henne²</w:t>
      </w:r>
      <w:r>
        <w:rPr>
          <w:b w:val="0"/>
        </w:rPr>
        <w:t xml:space="preserve"> vill testamentera all sin egendom till </w:t>
      </w:r>
      <w:r>
        <w:rPr>
          <w:b/>
        </w:rPr>
        <w:t>henne²</w:t>
      </w:r>
      <w:r>
        <w:rPr>
          <w:b w:val="0"/>
        </w:rPr>
        <w:t>, är det antagligt, frågar jag, att i en dylik situation de till myndig ålder komna barnen i det första äktenskapet skulle godkänna ett dylikt testamente? Jag finner det för min del så osannolikt, att jag inte förstår, hur det exemplet kan vara ägnat att andragas såsom belysande för tillbörligheten av den här föreslagna lagstiftningen. Och om så skulle ske, finner jag intet anstötligt i att en vuxen människa av lagen tvingas att stå vid sitt ord, blott möjlighet finnes att få avtalet upphävt, när otillbörlig påverkan ägt rum.</w:t>
        <w:br/>
        <w:br/>
        <w:t>Ja, herr talman, av föregående talare ha redan andra synpunkter anförts, som jag nu inte behöver upprepa, och jag ber därför att få sluta med att vidhålla mitt yrkande om avslag på hela lagförslaget. Detta avslag innebär, som jag nämnde, inte någonting annat än ett uppskov, och det synes mig, som om det anförande, som den siste ärade talaren, herr Hammarskjöld, här hade, borde vara ägnat att visa kammarens ledamöter att här föreligger en fråga, som verkligen tål att övertänkas ännu något litet.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