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1880</w:t>
      </w:r>
    </w:p>
    <w:p>
      <w:r>
        <w:rPr>
          <w:b/>
        </w:rPr>
        <w:t xml:space="preserve">Datum: </w:t>
      </w:r>
      <w:r>
        <w:t>1931-01-17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Otto Järte (–, man)</w:t>
      </w:r>
    </w:p>
    <w:p>
      <w:r>
        <w:rPr>
          <w:b w:val="0"/>
        </w:rPr>
        <w:t>Herr talman! Det finns ett effektivt sätt numera att förkorta en debatt i svenska riksdagens andra kammare. Herrarna märkte kanske att efter herr Kilboms tal kändes genast ett svavelos, som icke härledde sig från hans utbrunna demagogiska raketkistor utan berodde därpå, har det upplysts från sakkunnigt håll, att nere vid vindfången, varifrån pumpas in frisk luft i kammaren, ligga några pråmar som ryka. De passa på att ryka intensivt precis nu, när de anse, att remissdebatten bör sluta. Jag skall försöka att för de här närvarande förkorta den risk för huvudvärk, som kan förefinnas.</w:t>
        <w:br/>
        <w:br/>
        <w:t>Eljest har det varit en slags utvädring här under remissdebatten både första dagen och dagen efter, fast debattens nivå inte riktigt berättigar oss att kalla det för en dageneftertillställning, en utvädring alltså av atmosfären kring det parlamentariska styrelsesätt, som praktiserats i vårt land. Det var att vänta. att det skulle komma till en sådan uppgörelse efter de ingående offentliga diskussioner, som ägt rum, sedan den andra Ekmanska ministärens tillkomst. Nu finner man, att från alla håll, från höger, från socialdemokrater och även från statsrådsbänken, har man sagt, att koalitioner naturligtvis äro bäst, ty då kan</w:t>
        <w:br/>
        <w:br/>
        <w:t>regeringen få majoritetsunderlag i riksdagen. Det ligger också i sakens natur, som professor Westman framhöll i första kammaren, att vi med nuvarande minoritetsregeringssystem få dragas med parlamentarismens många svagheter men försaka dess kraft, nämligen att få en stark regering, som bygger på ett flertal i riksdagen.</w:t>
        <w:br/>
        <w:br/>
        <w:t>För högerns vidkommande har herr Lindman framhållit vid flera tillfällen — att hösten 1928 var just besökelsens stund för den borgerliga samlingen i vårt land. Den hade genomförts i större utsträckning än någonsin under andrakammarvalet, och det kan icke bestridas, att den borgerliga meningen i vårt land också bestämt förbidade, att nu skulle den fortsätta in i regeringen. Det uppdrag, som statschefen gav högerns ledare, innebar också en uppmaning att försöka en sondering i den riktningen. Men det strandade som bekant på de folkfrisinnades envisa motstånd. Sedan dess ha onekligen förutsättningarna för en borgerlig koalitionsregering varit ganska små. Det är ingen heller som förebrått herr Ekman för att han icke vände sig till högern vid regeringskrisen i våras.</w:t>
        <w:br/>
        <w:br/>
        <w:t>Vad återigen utsikterna för en vänsterkoalition beträffar, så anser tydiigen herr Hansson, att det var i våras som den planen skulle realiseras. Det hade ju också pågått förberedelser. Man vet nu, att diskussion ägt rum under hösten 1929 och väl också under hela den följande vintern mellan representanter för de folkfrisinnade och för den socialdemokratiska partiledningen, som ull slut utmynnade i den promemoria från socialdemokraterna, som herr Ekman fick till sig överlämnad vid regeringsbildandet. Men herr Ekman avböjde av skäl som herr Lindman i förmiddags fann bärande och som ju också äro av beskaffenhet att omöjliggöra ett nära samgående, då vederbörande parlier äro så pass åtskilda beträffande vårt största politiska spörsmål för närvarande, nämligen jordbruksstödet. Herr Hansson ville visserligen göra gällande, att hans parti var redo att effektuera riksdagens inmalningsbeslut och ironiserade över att det var i själva verket en så liten skillnad mellan vänsterns båda hälfter. Men det var i alla händelser en skillnad, och den skillnaden berodde, som sagt, på att det fanns en motsättning beträffande just Jordbrukspolitiken. Eljest menar herr Hansson, att han med största förnöjelse skulle motse en borgerlig koalition, ty då kunde man räkna med att högern skulle villigt ackommodera sig åt vänster för att uppnå enighet med de folkfrisinnade. Detta perspektiv borde egentligen verka avskräckande på en högerman. Men jag förmodar, att om det skulle bli en borgerlig koalition, så finge man väl i varje fall på förhand komma överens om vissa gemensamma riktlinjer för politiken, som skulle förhindra alltför många slitningar under regeringens utövning. Och vid denna uppgörelse måste högern bevaka sin ställning som det största partiet.</w:t>
        <w:br/>
        <w:br/>
        <w:t>För min del är jag inte heller rädd för en vänsterkoalition, om man skall se saken ur ren partisynpunkt, därför att erfarenheterna från föregående samakning mellan liberaler och socialdemokrater voro ju så pass förödande för den ena parten, att man kan med visshet förutsäga, att skulle det komma till stånd en förnyad »fruktbärande samverkan» här i landet. så skulle säkerligen vid nästa konfrontation med folkviljan det frisinnade partiet röna samma öde, som det liberala fick uppleva efter 1917—1920 års blockpolitik samman med socialdemokraterna. Erfarenheten skulle bli så mycket mer förödande, som det dåvarande liberala partiet i varje fall var det manstarkare partiet av de två. framför allt i regeringen. Men en ny samverkan mellan ett numera svagare frisinnat parti och ett starkare socialdemokratiskt skulle bli en sådan gastkramning för de folkfrisinnade, att Jag tror att partiet näppeligen skulle överleva det experimentet. Det kunde eljest vara frestande för de folkfrisinnade att följa herr Hanssons lockelser. Han betonade. att han tagit herr Olssons i Kullenbergstorp anmärkning ad notam. att det varit de yngre socialdemo-</w:t>
        <w:br/>
        <w:br/>
        <w:t>Vid remiss av kraterna, som våren 1920 sprängde den enda majoritetsregering av klassiskt</w:t>
        <w:br/>
        <w:br/>
        <w:t xml:space="preserve">parlamentariskt mönster, som förekommit i Sverige, och därmed inledde den gra av majoritetsregeringar, som sedermera blivit regel. Herr Hansson sade, att han lärt av den upplevelsen och av det sista decenniets händelser, och menade tydligen, att han skulle bli lika foglig och eftergiven i ett nytt äktenskap, som en </w:t>
      </w:r>
      <w:r>
        <w:rPr>
          <w:b/>
        </w:rPr>
        <w:t>änka²</w:t>
      </w:r>
      <w:r>
        <w:rPr>
          <w:b w:val="0"/>
        </w:rPr>
        <w:t xml:space="preserve"> plägar vara, när </w:t>
      </w:r>
      <w:r>
        <w:rPr>
          <w:b/>
        </w:rPr>
        <w:t>hon²</w:t>
      </w:r>
      <w:r>
        <w:rPr>
          <w:b w:val="0"/>
        </w:rPr>
        <w:t xml:space="preserve"> gifter om sig. Ur den synpunkten kan kanske risken bliva mindre för herr Ekman, än om han skulle reflektera på ett anbud från höger. Men ur det svenska samhällets synpunkt vore en förnyelse av vänsterkoalitionen att avråda, ty vårt lands majoritet är borgerlig, och då komme den att regeras mot sin instinkt och mot sitt intresse. Jag tror ej heller, att de folkfrisinnade, som under den olycksaliga blockpolitiken 1917—20 voro den betänksamma och återhållande delen av partiet, äro så vidare hågade för ett sådant nytt försök.</w:t>
        <w:br/>
        <w:br/>
        <w:t>Nu har excellensen Ekman sagt, att det skulle finnas andra kombinationer, en kombination — om jag fattade honom rätt — mellan höger och socialdemokrater eller mellan socialdemokrater och bondeförbundare. Dessa koalitioner tillhöra emellertid den sortens faror, som icke behöva vara en nattmara för herr statsministern, därför att dessa koalitioner skulle koagulera vid blotta försöket till förverkligande. Dessa koalitionsfunderingar från regeringsbänken tillhöra uppenbarligen den sortens teoretiska tankelekar, som man kan roa sig med, medan man i praktiken sitter och regerar. Som det parlamentariska maktlägret tills vidare är beskaffat, är det enligt min uppfattning sundare och sannare, att vågmästeriet är förlagt till kanslihuset, så att det har förhand och får spela ut, än att det sitter i efterhand och dirigerar ej bara i riksdagen utan även i kommittéer och gör regeringsmaktens utövning för de större partierna ännu svårare än den är för den nuvarande minoritetsregeringen, därför att denna regering vet, att om den lägger sina linjer åt borgerligt håll i de stora frågorna, kommer den att sitta i orubbat bo. Den vissheten har herr statsministern.</w:t>
        <w:br/>
        <w:br/>
        <w:t>Vi få nu se under årets riksdag, hur regeringen ämnar styra sin kurs. Av vad man hittills försport är det tämligen tydligt, att i näringspolitiskt avseende kommer man att gå samman med de borgerliga partierna. I försvarspolitiken har man redan berett försvarsvännerna vissa besvikelser. I socialpolitiken tycks det däremot vara meningen, av statsverkspropositionen att döma, att mera tillmötesgå socialisternas pockande reformkrav. Det gäller då särskilt en reform av sjukkasselagstiftningen. Det är emellertid en fråga, som blir föremål för senare behandling.</w:t>
        <w:br/>
        <w:br/>
        <w:t>I övrigt är det två stora frågor, som dominera på det socialpolitiska området, arbetslöshetsfrågan och — herr Johanson i Stockholm! — de fackliga övergrepp, som under sista tiden i hög grad sysselsatt och upprört den allmänna opinionen.</w:t>
        <w:br/>
        <w:br/>
        <w:t>I arbetslöshetspolitiken bekräftas nu, vad det svenska systemets belackare icke trott vara möjligt, nämligen att systemet kan fungera smidigt även under den så att säga normalt cykliska depression på arbetsmarknaden, som vi nu uppleva. Det är ej så, att den svenska arbetslöshetspolitiken ovillkorligen biter sig fast vid arbetslinjen under alla förhållanden, utan när arbetslösheten växer på sina håll och resp. orter ej äro i stånd att få de arbetslösa placerade, eller anordningarna för lämpliga nödhjälpsarbeten under vintern skulle kosta för mycket pengar, kan man ge tillstånd till kontantunderstöd. Kammaren måste då medge, att man här i landet har ett system, som ger samma valuta för de arbetslösa som en arbetslöshetsförsäkring, d. v. s. kontant understöd utan karaktär av fattigvård. Men det är ur det allmännas synpunkt ett bättre, billigare och sundare system, som medför, att kontantunderstödet kan begränsas till de mest behövande, t. ex. familjeförsörjare, under det ung-</w:t>
        <w:br/>
        <w:br/>
        <w:t>karlarna kunna skickas ut på nödhjälpsarbete. Det kan tillämpas temporärt Vid remiss av</w:t>
        <w:br/>
        <w:br/>
        <w:t>och avvecklas vid vårsäsongens inbrott. Jämväl i det hänseendet är det svenpropositionen ska systemet socialt effektivare än den stela och mekaniska försäkringen, att fyrid "</w:t>
        <w:br/>
        <w:br/>
        <w:t>det utan betungande premier för företagare och de lägst avlönade likväl kommer de mest behövande tillgodo.</w:t>
        <w:br/>
        <w:br/>
        <w:t>Under den nu förestående arbetslöshetskampanjen ankommer det på Kungl. Maj:ts regering och enkannerligen på herr socialministern att, när själva anslagsbeloppet är, som jag tror, försiktigt beräknat, se till att den statliga arbetslöshetshjälpen ordentligt övervakas och gällande direktiv tillämpas. Det kan nämligen lätt hända, att nödhjälpsarbetena bedrivas så, att lönerna stiga till överkant, då under den varmare årstiden, om depressionen och arbetslösheten fortsätta, man kommer att avsevärt skada Just jordbruket. Lönerna äro verkligen ej att klaga över vid de statliga förläggningarna. En stockholmare kan där med familjetillägg förtjäna 7 kronor 70 öre om dagen, och i allmänhet tillämpas lönesättningen, såvitt Jag kunnat inhämta, så liberalt, att i många fall man kommer upp, som t. ex. vid banan Ulricehamn—Jönköping, till 10 kronor om dagen. Det är en tillräcklig och god inkomst, men det är klart med den klyfta, som i vårt land finnes i lönenivån mellan lönerna för industriens arbetare och lönerna för lantarbetare och skogsarbetare, blir pressen så stark, att man måste noga övervaka, att man icke åstadkommer skada för det produktiva jordbruksarbetet. När regeringen med ena handen vill driva en jordbruksvänlig politik, får den se till att ej med den andra motverka jordbrukets behov av arbetskraft till överkomligt pris. Där behöves sålunda ett noggrant aktgivande, så att det blir konsekvens mellan statsmakternas jordbrukspolitik och socialpolitik.</w:t>
        <w:br/>
        <w:br/>
        <w:t>Den andra huvudfrågan, som i socialpolitiskt avseende tilldragit sig den största uppmärksamheten, berör de övergrepp, som förekommit särskilt under sista halvåret från fackföreningarnas sida. Herr Johanson i Stockholm försökte bagatellisera dessa och bestred, att det var något att fästa sig vid i högerpressens skildringar, vilka vore »våldsamt överdrivna», och att en stor del av dessa historier vore uppkonstruerade. Jag vågar för min del bestämt påstå, att så icke är förhållandet, även därför att dessa händelser föranlett åtskilliga självrannsakande artiklar i arbetarpressen. Landsorganisationens egen veckotidskrift »Fackföreningsrörelsen» har i flera nummer sagt ifrån, att det går ej för sig att gå så våldsamt fram. En socialdemokratisk tidning, »Örebro- Kuriren», har t. o. m. yttrat, att det behöves mera än »andeviskningar i landsorganisationens tidskrift» för att få bukt med dessa tendenser. Och herr Engberg var morgonen efter det stora valslaget i Stockholm i sept 1928 full av ruelse över fackorganisationernas och särskilt byggnadsarbetarnas övergrepp, som vållade denna högerns starka frammarsch, varigenom den i huvudstaden överflyglade socialdemokraterna. Man har sålunda från det hållet i motsats till herr Johanson erkänt, att här förekommit övergrepp och maktmissbruk. Det är ej oförklarligt att så blivit fallet, i betraktande av denna stora rörelse, omfattande över 600,000 människor — i Stockholm över 30,000 — i den mån organisationen växer ut från industrien, där de fackliga konflikterna och friktionerna numera förlöpa i tämligen normala gängor, till en massa mindre företag, som hembagerier, kaféer o. s. v. Frestelser uppstå då för brutalare, mindre nogräknade och kanske mindre fackligt skolade element inom rörelsen att missbruka den övermakt, som en organisation har gentemot en isolerad oorganiserad företagare, som själv lever nära existensminimum och ej kan betala kollektivavtalslöner. Det är därför förklarligt, att här ibland förekommer grovt maktmissbruk, som gör att dessa svaga i samhället behöva skydd mot den stora och omnipotenta arbetarorganisationen, som utan vidare förkrossar dem, om de våga opponera sig mot dess maktbud. Detsamma gäller om de hänsynslösa förföljel-</w:t>
        <w:br/>
        <w:br/>
        <w:t>serna mot de arbetsvilliga, som lagar och ordningsmakt till trots äro fredlösa i vårt land.</w:t>
        <w:br/>
        <w:br/>
        <w:t>Det finns också en stark och livlig känsla inom hela vårt lands borgerliga befolkning, att här måste något åtgöras från statsmakternas sida för att hävda rätt och frihet för de värnlösa på arbetsmarknaden. Ett uttryck härför var den motion, som väcktes för två år sedan, då man från högerhåll begärde utredning om möjligheterna att bereda bättre lagligt skydd för tredje man vid arbetskonflikter. Motionen vann ej majoritet i riksdagen. De folkfrisinnade gingo emot, under förmenande, att den frågan borde upptagas av arbetsfredsdelegerade, vilka tillkallats som resultat av den Libeckska samförståndskonferensen på detta rum senhösten 1928. Men dessa kommitterade avvisade med fog frågan som för dem ovidkommande. Då utsåg ministären Lindman 1929 på hösten en sakkunnig, juris prof. Bergendahl, för frågans utredning. Jag förmodar, att när man nu från folkfrisinnat håll — Svenska Morgonbladet har härvidlag tagit till ganska djupa brösttoner — förstått, att här måste något göras, och när nu arbetsfredskommittén avvisat spörsmålet, har man på folkfrisinnat håll kommit till den uppfattningen, att nyssnämnda utredning var av behovet påkallad. Man får väl också taga den omständigheten, att den sakkunnige nyligen förstärkts med ett nytt biträde, som ett bevis för, att även regeringen kommit till den övertygelsen, att man måste få fram ett förslag i angiven riktning. Men denna dröjer, och sedan utredningens igångsättande ha fall inträffat på arbetsmarknaden — t. ex. den riksberyktade Beckerkonflikten — där ej, som herr Johanson vill göra troligt, blockadvakterna voro en änglavakt i skira, vita kläder, vilkas frid antastades av provocerande högerungdom, utan där enligt mångas inför notarie publicus vittnesbestyrkta uppgifter stockholmska medborgare av bägge könen på ett rent otillständigt sätt förolämpades av blockadvakterna — denna bedrövliga historia, i förening med andra övergrepp, har bibragt oss den uppfattningen, att den utredning, som är igångsatt, måste vidgas så, att man kan skapa lagliga garantier mot samtliga dessa oförsvarliga och oursäktliga maktmissbruk.</w:t>
        <w:br/>
        <w:br/>
        <w:t>Varför har man på ledande fackföreningshåll något emot en sådan åtgärd? Meningen har ju aldrig varit att lagstifta mot fackföreningsrörelsen. Syftet är enbart att bereda bättre skydd för menige mans frihet och rätt, sålunda just vad man på ansvarigt håll inom arbetarrörelsen uttalat sig för. Ännu minnas vi alla agitationen från 1927 och 1928 mot lagarna om arbetsdomstolen och kollektivavtal, och hur Sveriges arbetare förspillde en halv dag med demonstrationstraskande för att protestera mot en lag »som skulle förvandla dem till slavar». Nu medger själva herr Johanson, som i denna sal dundrade mot »klasslagarna», att denna lagstiftning är utmärkt för att komma tillrätta med tredskande arbetsgivare och användes av fackföreningsrörelsen i det syftet. Man kan vara säker om att en lagstiftning till skydd mot maktmissbruk på arbetsmarknaden skulle gagna de sunda, vederhäftiga och ansvarsfulla elementen inom den svenska arbetarrörelsen. Härigenom kan också förhindras, att de röster vinna i styrka, som mena, att här finnes intet att vänta från de svenska statsmakterna, utan att här skall man taga saken i egen hand och med självhjälp skaffa sig sin självklara rätt. En desperat anda av detta slag skall man icke uppamma i vårt gamla svenska lagsamhälle. Vi vilja ingen diktatur varken från vänster eller från höger. Vi vilja bygga på den gamla grunden för att få in en sund rättsordning på arbetsmarknaden med stöd av alla goda medborgare och till gagn även för de ledande inom den svenska arbetarrörelsen.</w:t>
      </w:r>
    </w:p>
    <w:p>
      <w:pPr>
        <w:pStyle w:val="Heading2"/>
      </w:pPr>
      <w:r>
        <w:t>2. Edoff Andersson (Kilbomspartiet, man)</w:t>
      </w:r>
    </w:p>
    <w:p>
      <w:r>
        <w:rPr>
          <w:b w:val="0"/>
        </w:rPr>
        <w:t>Herr förste vice talman! Jag begärde ordet närmast med anledning av ett par uttalanden från hans excellens statsministern.</w:t>
        <w:br/>
        <w:br/>
        <w:t>Det första uttalandet, som gjordes i anledning av vad jag yttrade i lördags, gällde den behandling, som statstjänarna och deras livsfråga rönt från regeringens sida. I den frågan uttalade statsministern, att han ej hade väntat, att han skulle få kritik beträffande det bristande inflytande statstjänarna ha i deras viktiga fråga från det hållet eller från mig, som tagit till ideal en statsform, där man suveränt dikterade villkoren för de anställda. Jag måste uppriktigt säga, att jag ej hade från hans excellens statsministerns sida väntat. att han skulle falla ner till ett sådant sätt att argumentera i en fråga som denna. Jag vet ej, hur mycket han känner till om det ideal av statsform, som jag skulle vilja ha, men så mycket kan jag säga, att där skulle åtminstone en regering icke bli långlivad, som skulle ta sig för att diktera villkoren för dem, som skola utföra arbetet, utan att låta dem få tillbörligt medinflytande över sina arbetsvillkor. Jag hävdar, att de som utföra arbetet skola ha ett avgörande inflytande, när det gäller villkoren för arbetets utförande, och med utgångspunkt härifrån är det icke skäl i att sakligt argumentera emot mig på det sätt; som hans excellens herr statsministern gjorde i det sammanhanget.</w:t>
        <w:br/>
        <w:br/>
        <w:t>När det gäller frågan, som den nu ligger till, skall jag icke uppehålla mig vid huru statstjänarna se den för närvarande. Jag vill bara säga, att statstjänarna ha fortfarande den uppfattningen, att de icke blivit behandlade på det sätt, som de väntat ens från den sittande regeringens sida. Herr statsrådet och chefen för finansdepartementet anförde, att regeringen icke hade givit några löften till de statsanställda. Det vet jag icke, om det är ett argument för försvar av den ståndpunkt regeringen intagit. Den omständigheten, att man icke ger några löften beträffande arbetsvillkoren till dem, som utföra arbetet, är icke ett argument i sak, som kan tillmätas någon betydelse.</w:t>
        <w:br/>
        <w:br/>
        <w:t>När det gäller det frisinnade partiet och den sittande regeringen, hade herr Lindman ett uttalande, i vilket han liknade den sittande regeringen och dess parti vid socker och grädde. Herr Lindman var nog blygsam att likna sitt eget parti och ett annat stort parti vid vassla. Jag måste säga, att vad regeringen gjort för de statsanställda och vad regeringen gjort för de arbetslösa, som äro en stor nödlidande grupp i landet, icke giver mera näring än vassla. Sålunda betyda dessa tre partier lika mycket, när det gäller att tillföra de statsanställda ytterligare näring.</w:t>
        <w:br/>
        <w:br/>
        <w:t>I lönefrågan skall jag be att få säga ytterligare ett par ord.. Herr Olsson i Kullenbergstorp talade om lönefrågan såsom ett problem mellan riksdagen och regeringen eller kanske snarare mellan regeringen och bondeförbundet. Men herr O!sson i Kullenbergstorp bör icke glömma bort, att det finnes en annan part, som har en smula intresse av huru frågan behandlas och som icke utan skäl gör anspråk på att få säga sin mening och bli behandlad på ett någorlunda hyggligt sätt, nämligen den stora statstjänarekåren. Jag betraktar icke frågan såsom en fråga mellan regeringen och riksdagen. Ty det ligger så till, att de, som utföra arbetet, framställa anspråk, och den, som företräder arbetsgivareparten, har skyldighet att taga hänsyn till de anspråk, som den tager under behandling, och icke i fortsättningen behandla dem såsom här gjorts.</w:t>
        <w:br/>
        <w:br/>
        <w:t>När det gäller ett par andra frågor, som hans excellens herr statsministern i egenskap av chef för försvarsdepartementet tagit upp, skall jag be att få säga endast några få ord beträffande två av dem. TI vad gäller frågan om vattnet vid förläggningen i Oscar Fredriksborg, kan jag inskränka mig till att säga, att det vore ett stort nöje för mig att få bjuda herr statsministern på en resa till Oscar Fredriksborg för att på ort och ställe undersöka förhållandena. Jag är övertygad om att den färden skulle medföra den verkan, att de uppgifter, som herr statsministern åberopat i sin replik till mig, skulle befinnas vara icke så särdeles vederhäftiga. De experter, som använts, känner jag ganska väl, och jag hyser icke allt för stort förtroende till deras expertis. Och jag skulle kun-</w:t>
        <w:br/>
        <w:br/>
        <w:t>Vid remiss av na lämna uppgifter om deras verksamhet, som skulle giva kammaren anled-</w:t>
        <w:br/>
        <w:br/>
        <w:t>ning till ganska stor förvåning över att staten använder sådana experter, när det gäller frågor, som betyda tusentals kronor för statsverket.</w:t>
        <w:br/>
        <w:br/>
        <w:t>När det gäller vattenfrågan, så ligger den icke så till, som hans excellens herr statsministern meddelade, troligen efter uppgifter från myndigheterna, att sedan reningsverket uppsatts, har man tagit sitt vattenbehov där, i den mån det kunnat fyllas ur brunnarna. Det förhåller sig icke så, utan man pumpade ett par dagar till vattentornet i Oscar Fredriksborg, men sedan slutade man att taga ur brunnarna, trots att reningsverket gjorts i ordning, och tog åter vatten från Stockholm.</w:t>
        <w:br/>
        <w:br/>
        <w:t>Nu är jag övertygad, att hans excellens herr statsministern är medveten om att mina åtgärder i denna sak icke förestavas av några personliga skäl, utan att det finns anledning säga, att jag vidtagit dessa åtgärder endast i syfte att åstadkomma ändring till statsverkets fromma. Jag har icke lämnat några uppgifter i saken till pressen, utan jag har vänt mig till dem, som haft möjlighet att undersöka saken. Mina anmärkningar rikta sig knappast mot regeringen, i varje fall icke förr än regeringen visat sig vara beredd att taga i försvar det, som de militära myndigheterna här tillåtit sig.</w:t>
        <w:br/>
        <w:br/>
        <w:t>Jag skall icke upptaga tiden ytterligare med att sysselsätta mig med denna fråga. Men om det är mig tillåtet att giva herr statsministern ett råd, så skulle jag vilja be honom taga emot det rådet: tag icke utan vidare för gott de skriftliga uppgifter, som komma från de militära myndigheterna. I många fall är det skäl att titta på de uppgifter, som förekomma, och jag skulle tro, att hans excellens” närmaste företrädare såsom försvarsminister de sista dagarna av sin ämbetstid fick tillfälle erfara, att det varit klokare att undersöka uppgifternas vederhäftighet, innan han sade, att det var lögn och skvaller vad jag kom med. Ty i dag visar det sig, att mina uppgifter voro vederhäftigare än dem, som den dåvarande försvarsministern hade i sin hand. På samma sätt är det med vattenfrågan vid Oscar Fredriksborg. Jag har, trots den replik herr statsministern gav, icke fått en sådan uppfattning, som om han ville försvara det system, som praktiseras därute, och jag hoppas ur statsnyttans synpunkt, att åtgärder och förändringar skola vidtagas i förhållanden, som en betydande del av folket betrakta såsom meningslösa, när det gäller utgifter för statsverkets vidkommande.</w:t>
        <w:br/>
        <w:br/>
        <w:t>Den andra frågan rör historien vid Karlberg. Där uppgav herr statsministern, att den omständigheten, att den först antagna byggnadsentreprenören kommit på obestånd, varit den egentliga orsaken till att arbetet måst tagas ifrån honom, och det sades i det sammanhanget, att det förekommit uppdrivna arbetspriser. Jag har under den korta tid, som stått mig till buds, sedan herr statsministern lämnade den uppgiften, sökt undersöka, hur det ligger till med dem. Jag har då trätt i förbindelse med en av de fackorganisationer, som äro intresserade i denna sak, nämligen Svenska Målareförbundets avdelning I i Stockholm, och jag har från denna avdelningsstyrelse fått ett intyg, som lyder på följande sätt: »Härmed intygas att på det måleriarbete, som utförts vid omändringsarbetena på Kungl. Krigsskolan, Karlberg, endast tillämpats avtalsenliga löner.»</w:t>
        <w:br/>
        <w:br/>
        <w:t>Detta vad gäller den yrkesgruppen. När det gäller de andra yrkesgrupperna har jag varit i förbindelse med en representant för den byggnadsfirma, som måst lämna arbetet och utsatts för utpressning genom högre arbetspriser. Han vitsordade, att i den mån det förekommit en prissättning, som icke förekommer i avtal, så skall överenskommelse träffas om priset, och sådana överenskommelser beträffande priset ha här träffats. Och denne representant för byggnadsfirman vitsordade, att dessa priser ligga i flera fall 50 4 under vad man har betalat för motsvarande arbeten vid byggnader i staden. När det ligger så till,</w:t>
        <w:br/>
        <w:br/>
        <w:t>är det orimligt påstå, att hela historien skulle hänga tillsamman med uppres- Vid remiss av sade arbetspriser och att med anledning därav arbetarnas anspråk på att få tateverker ut sina innestående fordringar skulle vara orimliga. Om herr statsministern Pon undersöker frågan närmare på denna punkt, är jag ganska förvissad om att OF han skall komma till det resultatet, att vad som förekommit i denna fråga är,</w:t>
        <w:br/>
        <w:br/>
        <w:t>att man anställt en byggnadsentreprenör vid Karlberg, som visat sig icke gå i</w:t>
        <w:br/>
        <w:br/>
        <w:t>land med sin uppgift. Men denna omständighet kan icke läggas arbetarna till</w:t>
        <w:br/>
        <w:br/>
        <w:t>last. Man har uppgivit för mig, att det hela berott på, att ritningarna icke voro</w:t>
        <w:br/>
        <w:br/>
        <w:t>färdiga. Man kunde därför icke bedriva arbetet så, som det borde bedrivas, och</w:t>
        <w:br/>
        <w:br/>
        <w:t>det förorsakade byggmästaren utgifter. Det förefaller, som om de myndig-</w:t>
        <w:br/>
        <w:br/>
        <w:t>heter, som haft att se till, att entreprenören kunnat utföra sitt åliggande, bära</w:t>
        <w:br/>
        <w:br/>
        <w:t>skulden, i den mån sådan kan ligga på den omständigheten, att byggmästaren</w:t>
        <w:br/>
        <w:br/>
        <w:t>icke gått i land med sina uppgifter.</w:t>
        <w:br/>
        <w:br/>
        <w:t>Jag hyser den uppfattningen, att då staten behöver få ett arbete utfört, är det i statens intresse, att de, som utföra det, också få betalt för arbetet. En betydande del av entreprenadsumman har betalts till byggmästaren, men arbetarna ha icke fått ut sina löner enligt överenskommelse och avtal; och då så är fallet, ligger det i statens intresse att se till, att man träder emellan och ordnar förhållandena, så att arbetarna få vad de skola ha, och att, om man giver sig in i affärer med dem, som äro på obestånd, staten klarar upp förhållandena.</w:t>
        <w:br/>
        <w:br/>
        <w:t>Det har uppgivits, att man krävt borgensmännen. I entreprenaduppgörelsen finner man en passus, där det är sagt följande: »Säkerheten utgöres av till chefen för Kungl. Krigsskolan överlämnad borgensförbindelse godkänd av Kungl. Arméförvaltningens fortifikationsdepartement.&gt; Denna borgensförbindelse innebar säkerhet till 10 4, men när jag började undersöka saken, visade det sig, att borgensmännen voro insolventa. Man hade sålunda godkänt en borgen, som icke innebar tillräcklig säkerhet. Det är klart, att skulden icke kan läggas på chefen för försvarsdepartementet för vad som förefallit, utan på de militära myndigheter, som sysslat med själva frågan. Men det ligger dock närmast på chefen för försvarsdepartementet att ordna saken, ty det är icke någon fördel för staten att befinna sig i konflikt med byggnadsarbetarna, då staten har byggnader, som skola underhållas i Stockholms stad. Man bör ordna saken så, att statens arbeten få bedrivas utan sådant trassel, som konflikter med byggnadsarbetarna komma att innebära. Detta om dessa saker.</w:t>
        <w:br/>
        <w:br/>
        <w:t>Då jag i alla fall har ordet, så skall jag be att få säga ett par ord om herr Pehrsson i Göteborg. Han talade om. dumping. Han talade om att dumping förekom bl. a. på grund därav, att det arbete, som utföres i skogarna i Sovjet, skulle vara tvångsarbete. Det ligger så till, herr Pehrsson, att de ryska fackliga organisationer, som omfatta dessa skogsarbetare, ha utöver världen meddelat, att så icke är fallet, och protesterat mot de uppgifter, som i den delen framkommit. De meddela, att det finnes 1,600,000 arbetare, som sysselsättas med skogsarbete i de ryska skogarna, och icke någon lär väl utan vidare vilja göra gällande, att det är fråga om tvångsarbete. Jag förstår, att herr Pehrsson icke tror på något annat än sina egna unngifter, men jag vill dock rikta kammarens uppmärksamhet på detta. Men då det nu talas om att arbetet utföres av fångar och att arbetet utföres som tvångsarbete, skall jag be att få fästa uppmärksamheten på att vi icke äro främmande för den saken här i landet heller. En ganska god del av medlemmarna i det fackförbund, jag i min dagliga gärning sysslar med, har ställts utan arbete, därför att arbetet överlämnats till fångvårdsanstalterna. Det har glorts, därför att arbetet på det sättet blir billigare, än om det utföres i den fria marknaden. Jag undrar, vad det är för skillnad, herr Pehrsson, om fångar här i landet och fångar i annat land utföra arbetet. Herr Pehrsson har, enligt vad jag sett i pressen, haft</w:t>
        <w:br/>
        <w:br/>
        <w:t>något gemensamt med vissa förhållanden vid fångvården, som enligt pressens framställningar äro en ganska tvivelaktig affär, och jag förmodar, att herr Pehrsson icke är främmande för det arbete, som förekommit. Han är säkert på det klara med, att fångvårdsarbete förekommer i betydande utsträckning och berövar ett betydande antal människor deras utkomstmöjligheter.</w:t>
        <w:br/>
        <w:br/>
        <w:t>Herr Järte talade om arbetslöshetsfrågan och förklarade, att den form för arbetslöshetshjälp, som förekommer här i landet, är utomordentligt tillfredsställande. Den omständigheten, att herr Järte uttalar, att det är så tillfredsställande med arbetslöshetshjälpen, kan utan vidare betraktas såsom ett gott belägg för, att anordningen icke är till gagn utan mera till skada för arbetarna ” ; allmänhet. Han förklarade, att lönerna icke äro dåliga vid de arbeten, som utföras av arbetslöshetskommissionen. Men jag kan visa upp, att de äro så låga, att de med 15 &amp; understiga den fastställda dagavlöningen, trots att denna avlöning i det uppgivna fallet var fastställd till kr. 3:20 per dag. Den uppgift, som finnes i arbetslöshetskommissionens redogörelse för förra året, visar, att ända upp till 50 Zz av nödhjälpsarbetarna få fattigunderstöd. Det betyder, att lönerna icke äro tillfredsställande eller räcka till uppehället. Den, som kan komma och tala om att lönerna äro tillräckliga eller icke dåliga vid nödhjälpsarbetena, har sannerligen icke sinne för vad som bör förekomma i fråga om arbetslöner för att folk skall kunna någorlunda försörja sig.</w:t>
        <w:br/>
        <w:br/>
        <w:t xml:space="preserve">Herr Järte talade vidare om övergrepp från fackföreningsrörelsens sida. och det har talats och skrivits från högerns sida om övergrepp här i staden från de fackliga organisationernas sida. Jag skall icke uppehålla mig vid det, därför att det har förut belysts i debatten. Men jag vill erinra om, att det hölls ett möte på Konserthusets stora sal, där det var en amiral, herr Lindman, och en general, som talade om övergrepp av fackorganisationerna, och framstående medlemmar i samhället ha sålunda sin uppmärksamhet fästad på problemet. Vad var det då för fall, som dessa framstående, politiskt framstående medlemmar i samhället, dessa förnämliga representanter för högerns valorganisation, visade på? Jo, det var en </w:t>
      </w:r>
      <w:r>
        <w:rPr>
          <w:b/>
        </w:rPr>
        <w:t>änka²</w:t>
      </w:r>
      <w:r>
        <w:rPr>
          <w:b w:val="0"/>
        </w:rPr>
        <w:t xml:space="preserve"> i staden, som har blivit en så stor politisk figur i landet, att </w:t>
      </w:r>
      <w:r>
        <w:rPr>
          <w:b/>
        </w:rPr>
        <w:t>hon²</w:t>
      </w:r>
      <w:r>
        <w:rPr>
          <w:b w:val="0"/>
        </w:rPr>
        <w:t xml:space="preserve"> icke kunnat drömma om att </w:t>
      </w:r>
      <w:r>
        <w:rPr>
          <w:b/>
        </w:rPr>
        <w:t>hon²</w:t>
      </w:r>
      <w:r>
        <w:rPr>
          <w:b w:val="0"/>
        </w:rPr>
        <w:t xml:space="preserve"> skulle komma att spela en så stor politisk roll och bli omtalad av icke mindre än två höga militärer på mötet i Konserthuset. Det har tidigare blivit belyst vad som förekommit i den konflikten. Herr Järte säger, att när fackorganisationen tränger ut och börjar organisera arbetet i små företag, börjar det bli verkligt trångt. Ja, när fackorganisationen börjar rensa upp och se till att man icke inom dessa företag får använda arbetskraften precis hur man vill, på vilka villkor som helst, och alltså försöker se till, att parterna emellan överenskomna villkor för arbetets utförande skola tillämpas även vid ifrågavarande företag, då kommer man och betecknar det såsom oerhörda övergrepp.</w:t>
        <w:br/>
        <w:br/>
        <w:t>Detta tal från herr Järtes sida, att det är de svaga i samhället, som behöva skydd, ja, det talet, herr Järte, framstår i sin rätta belysning, om man granskar vad som förekommit och vad det är herr Järte och hans meningsfränder vilja taga i försvar. Granskar man detta, skall man finna, att det som högern försvarar i denna fråga, det som herr Järte uppträder och slåss för i denna fråga, det är utsugningen av fattiga människor, vilka med fackorganisationernas hjälp försöka att i någon mån få samma villkor som dem, som överenskommits för de stora grupperna på samma arbetsområde och inom samma yrkesgren. Det är sålunda vad som här förekommer. När herr Järte då kommer och talar om att man skall stifta en lag som skydd för tredje mans rätt, då herr Järte talar om att detta icke är en lagstiftning, som riktar sig mot fackföreningarna. då</w:t>
        <w:br/>
        <w:br/>
        <w:t>yct jag mycket väl, att han talar om en sak men menar något helt annat. Han</w:t>
        <w:br/>
        <w:br/>
        <w:t>använder i detta sammanhang argument sådana som att man skall se till att t. o. m. försvara fackföreningarna mot de övergrepp, som förekomma, men i</w:t>
        <w:br/>
        <w:br/>
        <w:t>själva verket vill herr Järte bara åstadkomma den verkan, att han med lagstiftningens hjälp skall så att säga draga ut gifttänderna på fackföreningarna, så att de bli sådana, att de tillfredsställa herr Järtes och hans meningsfränders intressen. Bara man kommer så långt, är herr Järte säkerligen tillfredsställd med vad fackföreningarna kunna uträtta, ty då har man bundit fackföreningarna på sådant sätt, att de icke längre ha möjlighet att försvara de smås och fattigas intressen. Då ha herr Järte och hans meningsfränder verkligen opererat som de behaga, och då har man givetvis kommit till den ordning, som herr Järte alldeles särskilt eftersträvar.</w:t>
        <w:br/>
        <w:br/>
        <w:t xml:space="preserve">Jag talade i lördags om det samförstånd, som man pläderade för från herr Lindmans sida, från herr Järtes sida och från socialdemokratiskt håll vid den konferens, som avhölls här på den Lindmanska regeringens initiativ år 1928. Herr Edvard Johanson var ju också med på denna samförståndskonferens, och en annan deltagare var ju den, som skriver de av herr Järte omtalade artiklarna i fackföreningsrörelsen. Alla vittnade om hur utomordentligt fridfullt det skulle bli. Herrar Johanson och Hansson flyttade in i den båt, som herr Lindman talade om och där det rådde en anda av »samförstånd till allas båtnad». Sedan dess ha ju herr Järte och hans meningsfränder prytt upp den där båten med en galjonsbild, </w:t>
      </w:r>
      <w:r>
        <w:rPr>
          <w:b/>
        </w:rPr>
        <w:t>änkan²</w:t>
      </w:r>
      <w:r>
        <w:rPr>
          <w:b w:val="0"/>
        </w:rPr>
        <w:t xml:space="preserve"> från Gamla staden, och jag tycker det skall vara ganska angenämt att få se denna bild med alla dessa samförståndsvänner i den gemensamma farkosten. Efter det tal, som herr Järte förde här i dag och som icke avslöjar något annat än de meningar, som han även tidigare hyst i denna fråga, de meningar som högern överhuvud taget hyser i denna fråga, Ja, efter detta är det möjligt, om herr Johanson vidhåller de synpunkter, som han förde fram i debatten i dag, att sämjan icke blir så god i den gemensamma båten, som vad den är ute i praktiken på arbetsplatserna, där herr Järtes meningsfränder göra vad de kunna för att kämpa mot de svaga och fattiga i samhället, en verksamhet, mot vilken det snarare skulle behövas lagstiftning än mot den verksamhet, fackföreningarna bedriva för att försvara dessa fattiga människor.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