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654</w:t>
      </w:r>
    </w:p>
    <w:p>
      <w:r>
        <w:rPr>
          <w:b/>
        </w:rPr>
        <w:t xml:space="preserve">Datum: </w:t>
      </w:r>
      <w:r>
        <w:t>1931-04-18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Jag vill till en början nämna. fast det nog kan vara alldeles överflödigt, att lagutskotten med sin hemställan icke på något sätt avsett att klandra det beslut, som fattats av talmännen, att remittera ifrågavarande proposition till lagutskott. Ingalunda, utan vad detta memorial går ut på är ingenting annat än en vördsam hemställan, att det måtte i detta alldeles singuljära fall tillåtas, att man av praktiska hänsyn förfar så, som lagutskotten ha hemställt.</w:t>
        <w:br/>
        <w:br/>
        <w:t>Att detta är ett singuljärt fall, torde väl var och en finna, som läst handlingarna. Den redogörelse, som herr förste vice talmannen lämnade, skall jag endast komplettera med att i största korthet få inför kammaren föredraga huvudpunkterna i propcsitionen nr 205, d. v. s. den proposition, som det nu är fråga om.</w:t>
        <w:br/>
        <w:br/>
        <w:t>Det föreslås där först en ändring i fattigvårdslagens 10 8. Den ändringen består däri, att man tillagt ett nytt stycke, som lyder så här: »Fattigvårdssamhälle, bestående av kommun, där kommunal- eller stadsfullmäktige finnas, må, därest det med hänsyn til! särskilda omständigheter prövas lämpligt, efter fattigvårdsstyrelsens hörande besluta. att den medelsförvaltning, som åligger styrelsen, skall handhavas i annan ordning. För sådant beslut erfordras å landet två tredjedelar av de i omröstningen deltagandes röster. Beslutet skall underställas prövning av Konungen, som äger meddela bestämmelser rörande förvaltningen.»</w:t>
        <w:br/>
        <w:br/>
        <w:t xml:space="preserve">I 12 $ består ändringen däri. att man uteslutit några ord ur fjärde stycket. Men jag kan kanske gå förbi detta för att icke trötta herrarna. Det gäller ju här rättigheten för </w:t>
      </w:r>
      <w:r>
        <w:rPr>
          <w:b/>
        </w:rPr>
        <w:t>kvinna¹</w:t>
      </w:r>
      <w:r>
        <w:rPr>
          <w:b w:val="0"/>
        </w:rPr>
        <w:t>, som är gift, att avsäga sig uppdrag.</w:t>
        <w:br/>
        <w:br/>
        <w:t>I 15 $ är tillagt några nya ord i 3 mom. Det står: »På enahanda sätt skall förfaras vid omröstning för tillsättande av tjänstebefattning.»</w:t>
        <w:br/>
        <w:br/>
        <w:t xml:space="preserve">I lagen om barnavård är tillsatt ett nytt stycke i 2 $, också berörande denna medelsförvaltnings anordnande. Vidare tages i 6 $ bort några ord, som röra </w:t>
      </w:r>
      <w:r>
        <w:rPr>
          <w:b/>
        </w:rPr>
        <w:t>kvinnorna¹</w:t>
      </w:r>
      <w:r>
        <w:rPr>
          <w:b w:val="0"/>
        </w:rPr>
        <w:t xml:space="preserve"> i detta sammanhang. Och slutligen i 9 $ ha tillagts några ord, som röra tillsättandet av tjänstebefattning.</w:t>
        <w:br/>
        <w:br/>
        <w:t>Nu är det ju alldeles klart, och i detta fall kan jag fullständigt instämma med herr vice talmannen, att om bara denna enda proposition hade förelegat, hade det naturligtvis aldrig satts i fråga från lagutskotten att återlämna den till kammaren för att handläggas av konstitutionsutskottet. Ingalunda. Hela den skräckmålning — ja, förlåt, det är kanske ett litet kraftigt uttryck — som herr vice talmannen gjorde, att man skulle sitta med mätsticka och peta varje gång man skall remittera något, är icke påkallad här. Fallet ligger icke så till, utan vad som föranlett vår framställning är de tre andra propositionerna, som avhandla precis samma sak som denna. I var och en av dem före-</w:t>
        <w:br/>
        <w:br/>
        <w:t>kommer något av det som jag nu redogjort för. Det är därför, som vi tycka.</w:t>
        <w:br/>
        <w:br/>
        <w:t>att man av praktiska skäl i ett så alldeles unikt fall skulle kunna våga sig på denna lilla fria tolkning, att samma utskott fick taga hand om alla fyra propositionerna.</w:t>
        <w:br/>
        <w:br/>
        <w:t>Nog äro former bra, men man får dock icke själv snöra sig i så trånga former, att arbetet därigenom förryckes. Man vill väl ändå inte ha det så, ifall nu vår hemställan icke bifalles, att andra lagutskottet skulle sitta på sitt rum och avhandla precis samma fråga som konstitutionsutskottet sitter på sitt rum och handlägger. Men så skulle ju fallet bli, såvida man icke vill göra ett sammansatt utskott, men det är ytterst ovanligt, att man i sådana frågor gör ett sammansatt utskott med konstitutionsutskottet som en del därav. Vi ha förresten under nuvarande regim sökt påskynda arbetet så mycket som möjligt och velat undvika sammansatta utskott, därför att de hindra utskottsarbetet.</w:t>
        <w:br/>
        <w:br/>
        <w:t>Jag kan ju vidare nämna, att när 1871 års lagförslag på sin tid hänsköts till riksdagen, begärde Kungl. Maj:t riksdagens beslut i de frågor, som voro av kommunallags natur, men däremot endast riksdagens yttrande i övrigt. Då gjorde man denna åtskillnad. Jag nämner det endast, därför att det här kan vara av intresse.</w:t>
        <w:br/>
        <w:br/>
        <w:t>Jag anser mig ej gå gramnlagenheten för nära, om jag säger — det få herrarna strax höra förresten — att konstitutionsutskottets ordförande är fullt ense med mig om denna åtgärds praktiskhet och lämplighet. Jag kan också nämna, att vid lagutskottens sammanträde, i det beslut, som då fattades, deltog även herr von Geijer, konstitutionsutskottets f. d. ordförande. Han är känd för att vara en mycket försiktig man, och jag tror verkligen icke, att han vill vara med om något halsbrytande på något sätt.</w:t>
        <w:br/>
        <w:br/>
        <w:t>Jag skall sluta, där jag började, nämligen med att säga, att herrarna få icke tro, att det här är något som helst klander utan endast en vördsam hemställan, att kammaren måtte tillåta, att man av praktiska skäl i ett fullkomligt unikt fall förfar så, som lagutskotten föreslagit.</w:t>
        <w:br/>
        <w:br/>
        <w:t>Jag ber alltså att få yrka bifall till lagutskottens hemställan.</w:t>
      </w:r>
    </w:p>
    <w:p>
      <w:pPr>
        <w:pStyle w:val="Heading2"/>
      </w:pPr>
      <w:r>
        <w:t>2. Hjalmar von Sydow (Första kammarens nationella parti, man)</w:t>
      </w:r>
    </w:p>
    <w:p>
      <w:r>
        <w:rPr>
          <w:b w:val="0"/>
        </w:rPr>
        <w:t>Jag hade tänkt yttra mig i denna fråga, men efter herr Akermans anförande kan jag inskränka mig till att instämma i vad han sagt och vädjar till herrarna att icke tvinga oss till dubbelarbete som rakt icke behöves.</w:t>
      </w:r>
    </w:p>
    <w:p>
      <w:pPr>
        <w:pStyle w:val="Heading2"/>
      </w:pPr>
      <w:r>
        <w:t>3. Carl Axel Reuterskiöld (Utan partibeteckning, man)</w:t>
      </w:r>
    </w:p>
    <w:p>
      <w:r>
        <w:rPr>
          <w:b w:val="0"/>
        </w:rPr>
        <w:t>Herr talman! Jag skulle gärna förena mig i det yttrande, som den senaste ärade talaren hade, och jag är verkligen förvånad över att denna enkla fråga i själva verket blåses upp till sådan dimensioner, som</w:t>
        <w:br/>
        <w:br/>
        <w:t>framgick av herr förste vice talmannens yttrande. Detta är en rent praktisk fråga, som kan lösas på mycket enkelt och naturligt sätt, såvida icke några avgörande grundlagshinder finnas, och några sådana har denne ärade talare ej kunnat påvisa.</w:t>
        <w:br/>
        <w:br/>
        <w:t>Jag skall be att få beröra vissa punkter i den ärade talarens anförande, eftersom det lagts på denna bog av honom. Jag tror icke, att det är skäl att fästa alltför stort avseende vid hela det resonemang, som här förts i en sådan fråga som denna, och jag beklagar livligt, att jag här behöver taga upp tiden med att framlägga några synpunkter, men jag kan icke undgå det, då herr förste vice talmannen lagt upp det på ett så omfattande sätt. Jag förmddar, att frågan varit behandlad också under hand av talmännen inom talmanskonferensen. Jag är litet förvånad över att i det fallet icke lagutskottens ordförande i enlighet med reglementariska föreskrifter tillkallats för att lämna nödiga upplysningar utöver det, som finnes i betänkandet. Då hade, misstänker Jag, det hela kunnat avklaras mycket enklare.</w:t>
        <w:br/>
        <w:br/>
        <w:t>Som det nu är, har först och främst herr förste vice talmannen sagt, att han trodde, att det var departementets mening, att ärendena skulle gå till skilda utskott, fastän han icke ville gå i god för detta. . Jag tillåter mig hemställa till herr förste vice talmannen, om departementens mening har så avgörande betydelse för förste vice talmannen i rent inre riksdagsangelägenheter. Jag tror, att det spelar platt ingen roll vad departementet här tänkt, om det överhuvud tänkt något alls i denna fråga, som man icke alls kan begära, att det skall ha gjort, därför att det ligger utanför dess befogenhet.</w:t>
        <w:br/>
        <w:br/>
        <w:t>Herr förste vice talmannen har också talat om, att om man gjorde denna remiss till konstitutionsutskottet i enlighet med intentionerna i lagutskottens memorial, skulle man få lagar, som delvis ginge till det ena och delvis till det andra utskottet. Ja. vad är det för märkvärdigt i det? Vi ha fullt av blandade lagar, som delvis falla under Konungens sanktionsoch bestämmanderätt, delvis med, delvis utan riksdagens hörande. Så var det med 1871 års av första lagutskottets högt ärade ordförande berörda förordning, och statsverkspropositionen remitteras årligen i vissa delar till statsutskottet, i andra delar till bevillningsutskottet och i andra till jordbruksutskottet. Det är ingen som helst tvekan om, att samma proposition kan i olika delar gå till skilda utskott. Tbland är det nyttigt, ibland överflödigt. Man gör vad som är lämpligt i det särskilda fallet, allt under förutsättning att det icke finnes något hinder i grundlagen.</w:t>
        <w:br/>
        <w:br/>
        <w:t xml:space="preserve">Vad är det nu det i själva verket här gäller? Jo, bortsett från två små högst obetydliga saker, om </w:t>
      </w:r>
      <w:r>
        <w:rPr>
          <w:b/>
        </w:rPr>
        <w:t>kvinnas¹</w:t>
      </w:r>
      <w:r>
        <w:rPr>
          <w:b w:val="0"/>
        </w:rPr>
        <w:t xml:space="preserve"> rätt att avsäga sig uppdrag och tillsättande av tjänstemannabefattningar, som äro så rent formella, att man kan avgöra dem utan vidare, för såvitt de icke sammanhänga med något annat, gäller det här den stora och viktiga frågan om landskommunernas rätt att anordna egen fristående ekonomisk förvaltning, omfattande hela komplexet av kommunernas ekonomiska angelägenheter, oberoende av om det berör kommunalnämnd, fattigvårdsstyrelse, barnavårdsnämnd eller andra nämnder eller styrelser. Det gäller frågan om centraliseringen av den kommunala ekonomiska förvaltningen. Denna bestämmelse i de nya kommunallagarna infördes förra året på konstitutionsutskottets initiativ. Den fanns ej i det kungl. förslaget, men utskottet gick in för detta, och kamrarna biföllo vad utskottet hemställt på denna punkt om en anordning, varigenom centralisering skulle kunna äga rum i landskommunernas ekonomiska förvaltning. Jag skall ej gå in på detaljer i denna sak. Jag vill endast erinra om, att när konstitutionsutskottet gjorde detta, hade utskottet också klart för sig, att det kunde finnas fall, som icke kunde komma in under denna centraliserade ekonomiska förvaltning, nämligen sådana fall, där en särskild separat förvaltning av ekono-</w:t>
        <w:br/>
        <w:br/>
        <w:t>mien genom lagstiftning var ålagd en viss nämnd eller styrelse, där den skall utöva den. Där kan naturligtvis ingen ändring ske, men utskottet har så skrivit sitt betänkande, att tonvikten ligger på den ovillkorliga skyldigheten. Därav följer, att utskottet gått ut från den tanken, att om det i ett givet fall icke vore ovillkorlig skyldighet enligt lagen för en kommuns fattigvårdsstyrelse, barnavårdsnämnd eller dylikt att utöva ekonomiförvaltningen, utan lagen medgåve en annan anordning såsom möjlig, då menade utskottet, att frågan skulle kunna bero av Kungl. Maj:ts fria prövning, ehuru utskottet ej ingick närmare i saken.</w:t>
        <w:br/>
        <w:br/>
        <w:t>Nu förelåg här under året ett fall, där en kommun hade begärt — det synes av propositionen — att få sådan centraliserad ekonomisk förvaltning. Kungl. Maj:t ansåg sig icke kunna bifall detta, därför att det avsåg även fattigvårdsstyrelse och barnavårdsnämnd, men i stället avlät Kungl. Maj:t denna proposition till riksdagen. Är det då icke naturligt och rimligt, att det utskott, som skrivit själva lagtexten och som genomfört själva principen förra året, nämligen konstitutionsutskottet, också får frågan om denna centraliserings följder och konsolidering genom dessa ändringar av formell natur i fattigvårdslagen och barnavårdslagen? Här avses ju icke fattigvårdslagen och dylika lagar överhuvud utan vår kommunalekonomiska förvaltning. Lagutskotten ha aldrig deltagit i denna frågas behandling, och kamrarna ha aldrig egentligen diskuterat den heller. Den gick nämligen igenom mycket hastigt utan längre debatter, så som herrarna behaga erinra sig, förra året, när utskottsbetänkandet förelåg. Men konstitutionsutskottet sitter alltsedan förra året inne med fullständig kunskap om vad som menas med detta. Skulle nu ett av dessa båda lagutskott, vilketdera det än blir, taga upp frågan och sätta sig in i tankegången, så får det ett helt extra arbete, som blir fullständigt överflödigt, om konstitutionsutskottet erhåller frågan. Jag undrar, om icke rent praktiskt taget det är den rimligaste vägen att gå, och jag kan ej finna annat, än att när det gäller sådana saker som denna, det är av ett visst intresse att något underlätta arbetet.</w:t>
        <w:br/>
        <w:br/>
        <w:t>Ja, säger man, då kan man använda ett sammansatt utskott. Men herr talman, mina herrar, nog är det rätt egendomligt, att man i en tid, då det tillsatts en kungl. kommitté för omarbetande av riksdagens arbetsformer till större smidighet och praktiskhet och då man vill undvika sammansatta utskott, man i stället skulle utvidga området för de sammansatta utskottens verksamhet och låta konstitutionsutskottet, som hittills icke mer än en enda gång sedan sin tillkomst bildat ett sammansatt utskott, påbyggas två gånger i år genom tillskott från annat håll. Det förelåg ett nödtvång, när konstitutionsutskottet bildade sammansatt utskott med statsutskottet rörande propositionen om finansiell hjälp. Nu föreligger här icke något nödtvång, men enligt min mening ett direkt hinder för att bilda sammansatt utskott. Icke tänker väl någon, att första och andra lagutskotten någonsin skulle bilda ett sammansatt utskott. Jag kan ej tänka mig den möjligheten, och lagutskotten tänka det icke heller. Men när konstitutionsutskottet behandlar kommunallagsfrågor, som ursprungligen lågo hos lagutskottet, så är det i egenskap av ett slags lagutskott. Och jag betvivlar, att konstitutionsutskottet och ett lagutskott skäligen kunna sammanträda till ett sammansatt utskott. Gaäller det materiella barnavårdseller fattigvårdsfrågor, är saken klar. Konstitutionsutskottet har ej med den att göra, något sammansatt utskott behöves ej. Gäller det rent principiella, formella och organisatoriska kommunalbestämmelser, kunna de gå till konstitutionsutskottet, om lagutskotten intet intresse hava därav. Lagutskotten böra dock behandla dem 1i vissa fall. då det gäller antingen enkla följdregler eller bestämmelser som nära sammanhänga med materiella innehållet i en till dessa utskott eljest hörande lag. men då det gäller</w:t>
        <w:br/>
        <w:br/>
        <w:t>en principfråga som denna av kommunal natur och dess genomförande i praktiken, måste det sägas vara i högsta grad opraktiskt och bra litet i överensstämmelse med den riktning, som innebär, att vi skola förenkla och påskynda riksdagsarbetet. att gå den rent formalistiska vägen och däri se t. ex. en fattigvårdsfråga.</w:t>
        <w:br/>
        <w:br/>
        <w:t>Man säger, att 1919 och 1921 års konstitutionsutskott i sin höghet och glans givit svar på frågan om vad som är kommunallagar. År 1919 förelåg en kungl. proposition, som innebar bestämmelser om lindring av mindre bemedlades kostnader för sinnessjukvård. Frågan var, om propositionen skulle gå till konstitutionsutskottet eller någon annanstans. Och 1921 förelåg det en motion angående ändring, varigenom bolagen enligt bestämmelsen i skatteförordningen av 1917 skulle komma att i vissa fall befrias från kommunal skattskyldighet. En annan motion förelåg, i vilken man ville få utredning om, i vilken utsträckning en objektskatt. motsvarande bevillningen av fast egendom i kommunalbeskattningen, skulle läggas på skatteföremålen, och en tredje handlade om kommunal nöjesskatt. Alla dessa frågor voro materiella, och utskottet ville icke ha dem. Jag finner det fortfarande helt naturligt, att när det är sådana materiella frågor, som icke ha med den kommunala organisationen att göra, de avvisas, såsom skedde t. ex. 1921, och om då i motiveringen skrives på ett eller annat sätt så, att denna kan få en litet vidsträcktare tillämpning, såsom fallet var 1919 och 1921 — fast utskottet 1921 gick något annorlunda tillväga än 1919 — då får man inte så fästa sig vid den saken att man alldeles bortser från vad frågan då gällde och vilka förutsättningar som då förelågo. :</w:t>
        <w:br/>
        <w:br/>
        <w:t>Det är så mycket mindre skäl att åberopa dessa yttranden som 1930 års kommunallagar ställde frågan under andra förutsättningar än förut. När 1930 års kommunallagar voro före till behandling i utskottet, förelåg även en motion därom. att i kommunallagarna skulle intagas grundläggande bestämmelser angående alla nämnders och styrelsers sammansättning, därför att de voro kommunala. Detta avvisades visserligen av utskottet men icke med någon principiell motivering, utan med en motivering, som innebar, att åtgärden icke visat sig behövlig. Därmed hade utskottet i själva verket icke tagit någon ståndpunkt beträffande frågan om avvisande av ett förslag, därför att det icke var kommunallag, utan det skedde därför, att förslaget ansågs överflödigt.</w:t>
        <w:br/>
        <w:br/>
        <w:t>Kommer jag så till frågan: finns det något grundlagsenligt hinder för anordnande av denna utredning av frågan på mest praktiska och lämpliga sätt, som kan tänkas? Jag kan icke finna detta. Vad som säges häremot, det är, att dessa lagar icke gå in i 1862 års kommunallagar eller därefter och i deras ställe komna författningar. Det är alldeles riktigt, men därav följer icke, att kommunallagsbegreppet icke är mäktigt att utvecklas, så att det kan komma att innebära mera. Vi ha i vår riksförsamling till bevillningsutskottet hänvisat en mängd frågor, som icke röra bevillning — t. ex. den s. k. nykterhetslagstiftningen — genom praxis och en förnuftig anordning vid remisserna, och det skulle förvåna mig i hög grad, om icke i detta fall en sådan utveckling kunde vara möjlig. Första lagutskottets högt ärade ordförande har redan sagt. att om icke dessa tre liknande propositioner, som gått till konstitutionsutskottet. funnits, skulle lagutskottet icke tvekat att taga emot den proposition, som det nu gäller. Jag instämmer fullkomligt i detta och skulle anse, att lagutskotten kunnat ändock erhålla även dessa bagatellfrågor till behandling, men som läget är nu, då det i huvudsaken är en principiellt kommunalrättslig fråga och dess tillämpning det gäller, måste jag vidhålla den uppfattningen, att lagutskottens enhälliga betänkande är synnerligen väl grundat.</w:t>
        <w:br/>
        <w:br/>
        <w:t>Jag har sällan sett en så kortfattad. koncis och exakt motivering som den här givna och med åberopande av och hänvisning till vad de båda lagutskot-</w:t>
        <w:br/>
        <w:br/>
        <w:t>ten i sitt memorial nr 1 anföra tillåter jag mig, herr talman, föreslå, att kammaren behagade remittera den ifrågavarande propositionen till konstitutionsutskottet.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