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1895</w:t>
      </w:r>
    </w:p>
    <w:p>
      <w:r>
        <w:rPr>
          <w:b/>
        </w:rPr>
        <w:t xml:space="preserve">Datum: </w:t>
      </w:r>
      <w:r>
        <w:t>1931-04-22</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Edoff Andersson (Kilbomspartiet, man)</w:t>
      </w:r>
    </w:p>
    <w:p>
      <w:r>
        <w:rPr>
          <w:b w:val="0"/>
        </w:rPr>
        <w:t xml:space="preserve">Ja, herr talman, då jag fört fram denna pensionsfråga till riksdagens prövning, så är det med hänsyn till den omständigheten, att </w:t>
      </w:r>
      <w:r>
        <w:rPr>
          <w:b/>
        </w:rPr>
        <w:t>änkan²</w:t>
      </w:r>
      <w:r>
        <w:rPr>
          <w:b w:val="0"/>
        </w:rPr>
        <w:t xml:space="preserve"> Svensson, som det här gäller, tidigare varit anställd vid ammunitionsfabriken å Marieberg under 10 år. </w:t>
      </w:r>
      <w:r>
        <w:rPr>
          <w:b/>
        </w:rPr>
        <w:t>Hennes²</w:t>
      </w:r>
      <w:r>
        <w:rPr>
          <w:b w:val="0"/>
        </w:rPr>
        <w:t xml:space="preserve"> man har varit anställd i statens tjänst i 30 år, och denna hans anställning motiverar, så vitt jag kan förstå, att </w:t>
      </w:r>
      <w:r>
        <w:rPr>
          <w:b/>
        </w:rPr>
        <w:t>änkan²</w:t>
      </w:r>
      <w:r>
        <w:rPr>
          <w:b w:val="0"/>
        </w:rPr>
        <w:t xml:space="preserve"> beviljas det </w:t>
      </w:r>
      <w:r>
        <w:rPr>
          <w:b/>
        </w:rPr>
        <w:t>änkeunderstöd²</w:t>
      </w:r>
      <w:r>
        <w:rPr>
          <w:b w:val="0"/>
        </w:rPr>
        <w:t xml:space="preserve">, som Kungl. Maj:t enligt riksdagens beslut har rätt att tilldela i sådana fall. Härtill kommer emellertid den omständighet, som jag först talade om, nämligen </w:t>
      </w:r>
      <w:r>
        <w:rPr>
          <w:b/>
        </w:rPr>
        <w:t>hennes²</w:t>
      </w:r>
      <w:r>
        <w:rPr>
          <w:b w:val="0"/>
        </w:rPr>
        <w:t xml:space="preserve"> egen tioåriga anställning, och jag anser, att detta motiverar en pension för </w:t>
      </w:r>
      <w:r>
        <w:rPr>
          <w:b/>
        </w:rPr>
        <w:t>henne²</w:t>
      </w:r>
      <w:r>
        <w:rPr>
          <w:b w:val="0"/>
        </w:rPr>
        <w:t>, som utgår även med hänsyn till den egna anställningstiden.</w:t>
        <w:br/>
        <w:br/>
        <w:t>Jag har ansett, att frågan är av den art, att den knappast skulle kunna falla inom ramen av den rätt, Kungl. Maj:t har att utdela understöd eller pensioner.</w:t>
        <w:br/>
        <w:br/>
        <w:t xml:space="preserve">Utskottet har här sagt, att »ifrågavarande understödsärende är enligt utskottets mening av den art, att detsamma bör hänskjutas till Kungl. Maj:ts prövning, vid vilken prövning skälig hänsyn lärer komma att tagas till den i motionen berörda omständigheten, att </w:t>
      </w:r>
      <w:r>
        <w:rPr>
          <w:b/>
        </w:rPr>
        <w:t>änkan²</w:t>
      </w:r>
      <w:r>
        <w:rPr>
          <w:b w:val="0"/>
        </w:rPr>
        <w:t xml:space="preserve"> själv under viss tid utfört arbete för statens räkning». Men då mannen haft denna anställningstid i statens tjänst, jag talade om, alltså 30 år, och jag anser, att detta motiverar det </w:t>
      </w:r>
      <w:r>
        <w:rPr>
          <w:b/>
        </w:rPr>
        <w:t>änkeunderstöd²</w:t>
      </w:r>
      <w:r>
        <w:rPr>
          <w:b w:val="0"/>
        </w:rPr>
        <w:t xml:space="preserve">, som Kungl. Maj:t har rätt att tilldela, men det förefaller mig, som om Kungen icke skulle ha möjlighet att taga erforderlig hänsyn till dessa 10 år, som </w:t>
      </w:r>
      <w:r>
        <w:rPr>
          <w:b/>
        </w:rPr>
        <w:t>hon²</w:t>
      </w:r>
      <w:r>
        <w:rPr>
          <w:b w:val="0"/>
        </w:rPr>
        <w:t xml:space="preserve"> haft tjänst, ber jag, med utgångspunkt härifrån, herr talman, att få yrka bifall till den av mig väckta motionen i ämnet, att alltså riksdagen skulle bevilja </w:t>
      </w:r>
      <w:r>
        <w:rPr>
          <w:b/>
        </w:rPr>
        <w:t>henne²</w:t>
      </w:r>
      <w:r>
        <w:rPr>
          <w:b w:val="0"/>
        </w:rPr>
        <w:t xml:space="preserve"> en pension av 600 kronor, denna pension då grundad dels på mannens anställningstid, 30 års statstjänst, och dels på de tjänsteår, </w:t>
      </w:r>
      <w:r>
        <w:rPr>
          <w:b/>
        </w:rPr>
        <w:t>hon²</w:t>
      </w:r>
      <w:r>
        <w:rPr>
          <w:b w:val="0"/>
        </w:rPr>
        <w:t xml:space="preserve"> själv arbetat i statens tjänst.</w:t>
      </w:r>
    </w:p>
    <w:p>
      <w:pPr>
        <w:pStyle w:val="Heading2"/>
      </w:pPr>
      <w:r>
        <w:t>2. Nils Winkler (–, man)</w:t>
      </w:r>
    </w:p>
    <w:p>
      <w:r>
        <w:rPr>
          <w:b w:val="0"/>
        </w:rPr>
        <w:t>Jag ber att få yrka bifall till utskottets hemställan.</w:t>
      </w:r>
    </w:p>
    <w:p>
      <w:pPr>
        <w:pStyle w:val="Heading2"/>
      </w:pPr>
      <w:r>
        <w:t>3. Felix Hamrin (Folkpartiet, man)</w:t>
      </w:r>
    </w:p>
    <w:p>
      <w:r>
        <w:rPr>
          <w:b w:val="0"/>
        </w:rPr>
        <w:t>Herr talman! När vi behandlade bankoutskottets utlåtande nr 28 förra lördagen, vilket upptog en hel del framställningar dels från Kungl. Maj:t, dels från enskilda motionärer, om understöd och pensioner, så gav herr Lovén uttryck åt den uppfattningen, att jag för min del skulle varit mycket missbelåten med bankoutskottets utlåtande åtminstone i en viss punkt. Det är emellertid fullkom-</w:t>
        <w:br/>
        <w:br/>
        <w:t xml:space="preserve">ligt ogrundat, detta påstående, ty jag har all anledning, icke minst å deras Ifråga om vägnar, som bliva föremål för riksdagens välvilja, att uttala ett uppriktigt ?'”on ätf. tack för den förståelse, som utskottet där har visat, icke minst beträffande "&amp;. 4.0. Kungl. Maj:ts propositioner. Cronströms Om jag icke har räknat allt för mycket fel, innehålla bankoutskottets utänka och låtanden, nr 27, 28 och 29, 88 framställningar ifrån Kungl. Maj:t, och av or dessa har bankoutskottet utan någon som helst ändring tillstyrkt icke mindre makarna än 78. Och utskottet har föreslagit ökningar i 6 av de återstående 10 fallen Cronströms och minskningar i endast 4 fall. minderåriga Det är ett av dessa sista fall, som nu här föredragits, d. v. s. frågan om </w:t>
      </w:r>
      <w:r>
        <w:rPr>
          <w:b/>
        </w:rPr>
        <w:t>dotter²</w:t>
      </w:r>
      <w:r>
        <w:rPr>
          <w:b w:val="0"/>
        </w:rPr>
        <w:t xml:space="preserve">. pension åt </w:t>
      </w:r>
      <w:r>
        <w:rPr>
          <w:b/>
        </w:rPr>
        <w:t>änkan²</w:t>
      </w:r>
      <w:r>
        <w:rPr>
          <w:b w:val="0"/>
        </w:rPr>
        <w:t xml:space="preserve"> efter en i riksförsäkringsanstalten anställd man, vid namn = (Forts) Cronström och makarnas efterlevande barn. Där har bankoutskottet frångått Kungl. Maj:ts förslag och endast hemställt om ett s. k. uppfostringsbidrag åt makarnas barn på 384 kronor. Anledningen härtill är ju den, att bankoutskottet låtit skälighetsprövningen bliva utslagsgivande och förmenat, att då </w:t>
      </w:r>
      <w:r>
        <w:rPr>
          <w:b/>
        </w:rPr>
        <w:t>änkan²</w:t>
      </w:r>
      <w:r>
        <w:rPr>
          <w:b w:val="0"/>
        </w:rPr>
        <w:t xml:space="preserve"> endast är 35 år och därtill har ordinarie tjänst som småskollärarinna, skulle det icke vara rimligt och riktigt att i ett fall sådant som detta pensionera </w:t>
      </w:r>
      <w:r>
        <w:rPr>
          <w:b/>
        </w:rPr>
        <w:t>henne²</w:t>
      </w:r>
      <w:r>
        <w:rPr>
          <w:b w:val="0"/>
        </w:rPr>
        <w:t xml:space="preserve">. Jag tillåter mig med anledning av detta i och för sig bärande argument att påpeka ett par saker, och jag hemställer till kammaren att taga under välvillig prövning, om icke mitt resonemang är riktigt. Det förhåller sig i själva verket på det sättet, att denne tjänsteman, som hade icke mindre än 19 års statstjänst och t. o. m. därutöver, under de senaste åren var mycket sjuk. Familjens ekonomi har icke minst därigenom blivit mindre god, och </w:t>
      </w:r>
      <w:r>
        <w:rPr>
          <w:b/>
        </w:rPr>
        <w:t>hustrun²</w:t>
      </w:r>
      <w:r>
        <w:rPr>
          <w:b w:val="0"/>
        </w:rPr>
        <w:t xml:space="preserve"> har jämväl under mannens livstid måst söka sig anställning för att i någon mån bidraga till familjens uppehälle och de särskilda kostnader, som blevo förorsakade av mannens svåra sjukdom. Men därtill kommer också, att då </w:t>
      </w:r>
      <w:r>
        <w:rPr>
          <w:b/>
        </w:rPr>
        <w:t>hustrun²</w:t>
      </w:r>
      <w:r>
        <w:rPr>
          <w:b w:val="0"/>
        </w:rPr>
        <w:t xml:space="preserve"> insåg, att </w:t>
      </w:r>
      <w:r>
        <w:rPr>
          <w:b/>
        </w:rPr>
        <w:t>hon²</w:t>
      </w:r>
      <w:r>
        <w:rPr>
          <w:b w:val="0"/>
        </w:rPr>
        <w:t xml:space="preserve"> stod inför det obevekliga ödet att bliva ensam, så sökte </w:t>
      </w:r>
      <w:r>
        <w:rPr>
          <w:b/>
        </w:rPr>
        <w:t>hon²</w:t>
      </w:r>
      <w:r>
        <w:rPr>
          <w:b w:val="0"/>
        </w:rPr>
        <w:t xml:space="preserve"> denna tjänst, i stället för att avvakta vad som skulle komma, nämligen att bliva ensamställd med makarnas lilla </w:t>
      </w:r>
      <w:r>
        <w:rPr>
          <w:b/>
        </w:rPr>
        <w:t>dotter²</w:t>
      </w:r>
      <w:r>
        <w:rPr>
          <w:b w:val="0"/>
        </w:rPr>
        <w:t xml:space="preserve">. Nu menar jag, att om denna </w:t>
      </w:r>
      <w:r>
        <w:rPr>
          <w:b/>
        </w:rPr>
        <w:t>kvinna¹</w:t>
      </w:r>
      <w:r>
        <w:rPr>
          <w:b w:val="0"/>
        </w:rPr>
        <w:t xml:space="preserve"> handlat, som de allra flesta måst handla, d. v. s. väntat till dess mannen avlidit — att han skulle göra det inom kort, det visste </w:t>
      </w:r>
      <w:r>
        <w:rPr>
          <w:b/>
        </w:rPr>
        <w:t>hon²</w:t>
      </w:r>
      <w:r>
        <w:rPr>
          <w:b w:val="0"/>
        </w:rPr>
        <w:t xml:space="preserve"> — då hade icke detta skäl förelegat emot framställningen om pension åt </w:t>
      </w:r>
      <w:r>
        <w:rPr>
          <w:b/>
        </w:rPr>
        <w:t>änkan²</w:t>
      </w:r>
      <w:r>
        <w:rPr>
          <w:b w:val="0"/>
        </w:rPr>
        <w:t xml:space="preserve">. Jag föreställer mig, att om vi undersökte en hel rad av fall, där man gått in för dels </w:t>
      </w:r>
      <w:r>
        <w:rPr>
          <w:b/>
        </w:rPr>
        <w:t>änkepension²</w:t>
      </w:r>
      <w:r>
        <w:rPr>
          <w:b w:val="0"/>
        </w:rPr>
        <w:t xml:space="preserve"> och dels uppfostringsbidrag åt minderåriga, skulle vi finna, att dessa änkor ofta måst söka sig förvärvsarbete åt sig och sina barn, och det förhållandet har alltså icke spelat in, när bankoutskottet bedömt dessa frågor och riksdagen slutgiltigt behandlat desamma. Här har </w:t>
      </w:r>
      <w:r>
        <w:rPr>
          <w:b/>
        </w:rPr>
        <w:t>änkan²</w:t>
      </w:r>
      <w:r>
        <w:rPr>
          <w:b w:val="0"/>
        </w:rPr>
        <w:t xml:space="preserve"> eller </w:t>
      </w:r>
      <w:r>
        <w:rPr>
          <w:b/>
        </w:rPr>
        <w:t>hustrun²</w:t>
      </w:r>
      <w:r>
        <w:rPr>
          <w:b w:val="0"/>
        </w:rPr>
        <w:t xml:space="preserve"> gått i förväg med ekonomisk framsynthet, skulle jag vilja säga, och sökt sig arbete och inkomster för att hjälpa till under den svåra tid, som föregick mannens frånfälle. Jag menar, att den omständigheten i ett fall sådant som det föreliggande spelar en viss roll. Vidare ber jag att få påpeka, vilket ju även blivit anfört i propositionen, att denne tjänsteman har innehaft en sådan tjänst, som blivit kungjord i vanlig ordning på samma sätt som en ordinarie tjänst. Jag behöver icke här erinra kammaren om de särskilda förhållanden, som råda beträffande riksförsäkringsanstaltens ställning inom statsförvaltningen, där blott cirka 12 HZ, vill jag minnas, av befattningshavarna äro i ordinarie ställning, och hela verket för övrigt står på extra stat. Notarien Cronströms tjänstgöring har varit sådan, att han under alla förhållanden, om icke det egendomliga förhållandet varit rådande, att man år efter år behållit hela verket på extra stat, skulle hava innehaft ordinarie anställning. Och då hade också </w:t>
      </w:r>
      <w:r>
        <w:rPr>
          <w:b/>
        </w:rPr>
        <w:t>änkan²</w:t>
      </w:r>
      <w:r>
        <w:rPr>
          <w:b w:val="0"/>
        </w:rPr>
        <w:t xml:space="preserve"> fått åtnjuta förmånerna därav.</w:t>
        <w:br/>
        <w:br/>
        <w:t>Men så slutligen — för att icke bliva för långsam — vill jag, herr talman,</w:t>
        <w:br/>
        <w:br/>
        <w:t>pension åt t.f. erinra om ett par beslut, som riksdagens första kammare fattade förra lörda-</w:t>
        <w:br/>
        <w:br/>
        <w:t xml:space="preserve">gen, då första kammaren, med frångående av Kungl. Maj:ts förslag, så väl beträffande </w:t>
      </w:r>
      <w:r>
        <w:rPr>
          <w:b/>
        </w:rPr>
        <w:t>änkan²</w:t>
      </w:r>
      <w:r>
        <w:rPr>
          <w:b w:val="0"/>
        </w:rPr>
        <w:t xml:space="preserve"> Sköld som </w:t>
      </w:r>
      <w:r>
        <w:rPr>
          <w:b/>
        </w:rPr>
        <w:t>änkan²</w:t>
      </w:r>
      <w:r>
        <w:rPr>
          <w:b w:val="0"/>
        </w:rPr>
        <w:t xml:space="preserve"> Söderström, gick in för pensioner åt dessa båda </w:t>
      </w:r>
      <w:r>
        <w:rPr>
          <w:b/>
        </w:rPr>
        <w:t>kvinnor¹</w:t>
      </w:r>
      <w:r>
        <w:rPr>
          <w:b w:val="0"/>
        </w:rPr>
        <w:t>.</w:t>
        <w:br/>
        <w:br/>
        <w:t xml:space="preserve">Skulle det nu vara så — och jag skulle nästan vilja förutsäga att det kommer att bli så — att dessa båda änkor få sin pension, kan detta leda till egendomliga konsekvenser. Jag gör detta uttalande därför att jag vet att det även i denna kammare på vissa håll finnes starka sympatier för pensioner åt änkorna Sköld och Söderström, och då jag observerade den väldiga majoritet, som förefanns i första kammaren till förmån för förslag i den riktningen, kommer säkerligen det slutgiltiga resultatet, även om det bleve ett annat utslag här i kammaren, att bli bifall till första kammarens ståndpunkt. Men hur ställer det sig då, om man avslår Kungl. Maj:ts framställning beträffande </w:t>
      </w:r>
      <w:r>
        <w:rPr>
          <w:b/>
        </w:rPr>
        <w:t>änkan²</w:t>
      </w:r>
      <w:r>
        <w:rPr>
          <w:b w:val="0"/>
        </w:rPr>
        <w:t xml:space="preserve"> Cronström? TI fallet Söderström ligger det ju till på det sättet, att mannen hade statsanställning i 11 år och 7 månader gentemot Cronströms 19 år och några månader, och </w:t>
      </w:r>
      <w:r>
        <w:rPr>
          <w:b/>
        </w:rPr>
        <w:t>änkan²</w:t>
      </w:r>
      <w:r>
        <w:rPr>
          <w:b w:val="0"/>
        </w:rPr>
        <w:t xml:space="preserve"> där är filosofie magister, genomgår provår och är alltså inriktad på ett förvärvsarbete — om jag får använda det uttrycket — som ger </w:t>
      </w:r>
      <w:r>
        <w:rPr>
          <w:b/>
        </w:rPr>
        <w:t>henne²</w:t>
      </w:r>
      <w:r>
        <w:rPr>
          <w:b w:val="0"/>
        </w:rPr>
        <w:t xml:space="preserve"> betydligt mera än den småskollärarinna, som det här är fråga om. Jag vill icke använda hårda ord, men skulle det icke vara orättvist att på det sättet klassificera dessa båda personer, att man ger den, som har den minsta inkomsten, ingenting alls i understöd, men tillgodoser den som står i beredskap att få den större inkomsten och vars man hade en mycket kortare tjänstgöringstid i statens tjänst? Jag vågar därför, herr talman, vädja till — i första hand — bankoutskottets ledamöter att hjälpa mig övertyga kammaren om att det är rimligt och rättvist och riktigt att gå på den kungl. propositionen och bifalla densamma ograverad.</w:t>
      </w:r>
    </w:p>
    <w:p>
      <w:pPr>
        <w:pStyle w:val="Heading2"/>
      </w:pPr>
      <w:r>
        <w:t>4. Nils Winkler (–, man)</w:t>
      </w:r>
    </w:p>
    <w:p>
      <w:r>
        <w:rPr>
          <w:b w:val="0"/>
        </w:rPr>
        <w:t xml:space="preserve">Herr talman! Det förhåller sig alldeles så, som herr finansministern påpekat, att bankoutskottet i de flesta fall följer Kungl. Maj:t, när det gäller pensionsärendena. För min del håller jag också före, att pensionsärenden bli bra mycket bättre behandlade, då de komma från Kungl. Maj:t, än om man kastar in motioner med olika slag av motiveringar. Vi blevo emellertid rätt förvånade, när vi fingo se denna kungl. proposition angående </w:t>
      </w:r>
      <w:r>
        <w:rPr>
          <w:b/>
        </w:rPr>
        <w:t>änkan²</w:t>
      </w:r>
      <w:r>
        <w:rPr>
          <w:b w:val="0"/>
        </w:rPr>
        <w:t xml:space="preserve"> Cronström, då de tendenser, som därav framgingo, ingalunda stodo i överensstämmelse med de principer, som tillämpats i övriga propositioner från Kungl. Maj:t. Det torde nämligen icke vara Kungl. Maj:t obekant, vilka principer som pläga tillämpas vid beviljandet av understöd eller pension åt änkor. Grundprincipen är den, att staten aldrig åtagit sig att draga försorg om familjepensioner, utan detta har man överlämnat åt tjänstemännen själva att ordna, ehuru man anslagit en viss summa för att hjälpa dem med kostnaderna härför. 9Sedan har man visserligen ibland kommit därhän, att man t. o. m. börjat lämna understöd och pensioner åt personer, som icke ens varit anställda i statstjänst. Men det har aldrig, herr Hamrin, förekommit, att bankoutskottet tillstyrkt någon pension för en </w:t>
      </w:r>
      <w:r>
        <w:rPr>
          <w:b/>
        </w:rPr>
        <w:t>änka²</w:t>
      </w:r>
      <w:r>
        <w:rPr>
          <w:b w:val="0"/>
        </w:rPr>
        <w:t>, som är så ung som 35 år och dessutom är frisk.</w:t>
        <w:br/>
        <w:br/>
        <w:t xml:space="preserve">Även om det alltså kunnat ordnas så, som finansministern påpekade, nämligen att </w:t>
      </w:r>
      <w:r>
        <w:rPr>
          <w:b/>
        </w:rPr>
        <w:t>hon²</w:t>
      </w:r>
      <w:r>
        <w:rPr>
          <w:b w:val="0"/>
        </w:rPr>
        <w:t xml:space="preserve"> kunnat vänta att skaffa sig en plats tills riksdagen behandlat detta ärende, hade i varje fall bankoutskottet icke tillstyrkt Kungl. Maj:ts förslag beträffande pension åt </w:t>
      </w:r>
      <w:r>
        <w:rPr>
          <w:b/>
        </w:rPr>
        <w:t>änkan²</w:t>
      </w:r>
      <w:r>
        <w:rPr>
          <w:b w:val="0"/>
        </w:rPr>
        <w:t>, men väl åt barnen. Vi få akta oss för nya prejudikat. Då regeringen tillämpat en viss princip och riksdagen en gång beviljat anslag under de och de förhållandena, avvika vi icke från denna princip i bankoutskottet, förrän ett annat beslut blivit av riksdagen fattat. Jag är alldeles övertygad om att detta ärende behandlats på samma sätt som de liknande pensionsärenden, som utskottet haft till sin prövning. Vi hat. o. m.</w:t>
        <w:br/>
        <w:br/>
        <w:t>gått ett steg längre, då vi beträffande barnen, som äro vana vid jämförelsevis god uppfostran, förordat mera än vad statskontoret funnit skäligt, nämligen ? 384 kronor i stället för 300.</w:t>
        <w:br/>
        <w:br/>
        <w:t xml:space="preserve">Nu hörde vi, att finansministern redan åberopat det beslut, som i lördags fattades i första kammaren med avseende på Skölds </w:t>
      </w:r>
      <w:r>
        <w:rPr>
          <w:b/>
        </w:rPr>
        <w:t>änka²</w:t>
      </w:r>
      <w:r>
        <w:rPr>
          <w:b w:val="0"/>
        </w:rPr>
        <w:t xml:space="preserve">, och det beslut, som han förmodar att andra kammaren kommer att fatta på denna punkt; han anser vid sådant förhållande att vi icke böra följa andra linjer i förevarande fall. Ja, vi ha ännu icke fattat beslut om pension åt Skölds </w:t>
      </w:r>
      <w:r>
        <w:rPr>
          <w:b/>
        </w:rPr>
        <w:t>änka²</w:t>
      </w:r>
      <w:r>
        <w:rPr>
          <w:b w:val="0"/>
        </w:rPr>
        <w:t>, och i det avse-</w:t>
        <w:br/>
        <w:br/>
        <w:t xml:space="preserve">endet har varken Kungl. Maj:t eller bankoutskottet ansett, att </w:t>
      </w:r>
      <w:r>
        <w:rPr>
          <w:b/>
        </w:rPr>
        <w:t>hon²</w:t>
      </w:r>
      <w:r>
        <w:rPr>
          <w:b w:val="0"/>
        </w:rPr>
        <w:t xml:space="preserve"> skulle ha Minderåriga</w:t>
        <w:br/>
        <w:br/>
        <w:t xml:space="preserve">någon sådan. Jag skulle alltså vilja vända på saken och säga, att när Kungl. Maj:t har hemställt om pension åt </w:t>
      </w:r>
      <w:r>
        <w:rPr>
          <w:b/>
        </w:rPr>
        <w:t>änkan²</w:t>
      </w:r>
      <w:r>
        <w:rPr>
          <w:b w:val="0"/>
        </w:rPr>
        <w:t xml:space="preserve"> Cronström, borde man ha gjort detsamma beträffande </w:t>
      </w:r>
      <w:r>
        <w:rPr>
          <w:b/>
        </w:rPr>
        <w:t>änkan²</w:t>
      </w:r>
      <w:r>
        <w:rPr>
          <w:b w:val="0"/>
        </w:rPr>
        <w:t xml:space="preserve"> Sköld. Bankoutskottets majoritet har som sagt icke förordat någon pension vare sig åt </w:t>
      </w:r>
      <w:r>
        <w:rPr>
          <w:b/>
        </w:rPr>
        <w:t>änkan²</w:t>
      </w:r>
      <w:r>
        <w:rPr>
          <w:b w:val="0"/>
        </w:rPr>
        <w:t xml:space="preserve"> Sköld eller </w:t>
      </w:r>
      <w:r>
        <w:rPr>
          <w:b/>
        </w:rPr>
        <w:t>änkan²</w:t>
      </w:r>
      <w:r>
        <w:rPr>
          <w:b w:val="0"/>
        </w:rPr>
        <w:t xml:space="preserve"> Cronström, som vi här debattera om. Jag tror därför, att det vore önskligt och högeligen behövligt, att andra kammarens majoritet fattade det beslut, som bankoutskottet här förordar. Jag yrkar, herr talman, bifall till utskottets hemställan.</w:t>
      </w:r>
    </w:p>
    <w:p>
      <w:pPr>
        <w:pStyle w:val="Heading2"/>
      </w:pPr>
      <w:r>
        <w:t>5. Felix Hamrin (Folkpartiet, man)</w:t>
      </w:r>
    </w:p>
    <w:p>
      <w:r>
        <w:rPr>
          <w:b w:val="0"/>
        </w:rPr>
        <w:t>Herr talman! Jag skall endast ge en kort replik till herr Winkler. Olikheten härutinnan ligger i vad jag förut yttrade om att Cronström tillhört ett verk, som står på extra stat. Han och hans efterlevande skulle utan ringaste tvekan ha kunnat erhålla pension, därest det varit normala förhållanden rådande på detta område.</w:t>
        <w:br/>
        <w:br/>
        <w:t>bidrag åt avlidne do-</w:t>
      </w:r>
    </w:p>
    <w:p>
      <w:pPr>
        <w:pStyle w:val="Heading2"/>
      </w:pPr>
      <w:r>
        <w:t>6. Vilhelm Lundstedt (Socialdemokraterna, man)</w:t>
      </w:r>
    </w:p>
    <w:p>
      <w:r>
        <w:rPr>
          <w:b w:val="0"/>
        </w:rPr>
        <w:t>Herr talman! TI detta ärende har jag yrkat, att docenten Skölds efterlämnade familj skulle från staten åtnjuta samma ekonomiska fördelar, som om Sköld vid sin död varit professor vid Lunds universitet. Varken utskottet eller någon reservant inom detsamma har godkänt denna ståndpunkt. Man har alltså funnit de av mig åberopade grunderna för mitt yrkande ohållbara. Då tilläventyrs dessa grunder nu kunna vara bortglömda av den ärade kammaren, skall jag först tillåta mig i allra största korthet sammanfatta dem. Jag ber att kammaren icke är ängslig — det kan taga högst två minuter.</w:t>
        <w:br/>
        <w:br/>
        <w:t>Docenten Sköld sökte en professur i Lund. Han var ensam sökande. Detta är viktigt. Det förenklar nämligen bedömandet av saken. Finnas flera sökande, så ökas möjligheterna oproportionerligt att göra svart till vitt. Alltnog: ehuru ensam sökande utestängdes Sköld från professuren och det under följande egendomliga omständigheter.</w:t>
        <w:br/>
        <w:br/>
        <w:t>Två officiellt tillsatta sakkunniga samt åtta andra fackmän från olika länder i Europa hade förklarat Sköld fullt kompetent till professuren. Blott en enda sakkunnig hade förklarat honom inkompetent. Och denna inkompetensförklaring hade meddelats i ett utlåtande, som genom själva sin ton och vissa delar av sitt innehåll bar en otillförlitlig prägel. Mot den ifrågavarande sak-</w:t>
        <w:br/>
        <w:br/>
        <w:t>kunnige kunde också anföras vissa personliga jävsgrunder, vilkas förhanden- Ang. varo bekräftades genom utlåtandets nyss antydda art. "Eee</w:t>
        <w:br/>
        <w:br/>
        <w:t>Situationen var därför redan före det regeringsbeslut, varigenom Sköld ute- qylidne doslöts från professuren, sådan, att jag vågade — jag säger jag, ty om jag bara centen J. K. säger att det offentligen uttalades, skulle det kunna missförstås — i en mo- Skölds mintion offentligen uttala, att i hela världen näppeligen någon annan än denne deråriga barn. ende, dessutom jävige, fackman skulle kunna uppbringas för en inkompetens- = (Forts) förklaring av Sköld.</w:t>
        <w:br/>
        <w:br/>
        <w:t>Detta mitt uttalande har sedermera befunnits till den grad motiverat, att ingen av ett trettiotal fackmän från olika länder i världen, till vilka jag vänt mig med förfrågan, huruvida de funno Sköld kompetent eller icke, velat avgiva en inkompetensförklaring. Bland dessa personer befunno sig visserligen också de tio, som förut förklarat Sköld kompetent. Hänvändelsen till dem gjordes emellertid, på det att de måtte få tillfälle uttala sig med uppmärksamheten riktad på den nyssnämnda inkompetensförklaringen. I övrigt får jag angående min ifrågavarande enquéte hänvisa till motionen. Blott så mycket skall sägas, att svaren på min rundfråga ovillkorligen giva vid handen, att Sköld efter svensk lag hade vad man kallar rättsligt anspråk på den sökta professurens erhållande. Likväl förvägrade staten honom densamma. Jag överlämnar åt kammarens ärade ledamöter att själva värdera detta statens för-</w:t>
        <w:br/>
        <w:br/>
        <w:t>faringssätt. Och jag riktar till kammaren den frågan: är det icke — alldenstund rättslig möjlighet saknades för Sköld eller hans stärbhus att erhålla gottgörelse — är det icke en hederssak för riksdagen att tillse, att sådan</w:t>
        <w:br/>
        <w:br/>
        <w:t>gottgörelse lämnas hans familj därigenom, att denna sättes i samma ekonomiska läge, som om Sköld vid sin död varit professor vid Lunds universitet?</w:t>
        <w:br/>
        <w:br/>
        <w:t>Det antydes nu varken i utskottsutlåtandet eller i någon av reservationerna, att jag skulle ha kommit med falska uppgifter. Jag vågar sålunda räkna med, att man inom utskottet icke velat bestrida, att Skölds utestängande från professuren inneburit ett sådant handlingssätt, som jag karakteriserat i motionen, men att utskottet, detta oaktat, funnit mitt yrkande ohållbart. Ligger saken så till, så torde resonemanget inom utskottet innefatta, att ett bifall till motionen skulle stå i strid med de principer, av vilka utskottet kände sig bundet i hithörande pensionsfrågor. Sannolikt har man menat, att ett godkännande av min ståndpunkt skulle innefatta ett farligt prejudikat för framtiden och därför icke kunde accepteras. Jag finner denna tolkning av utskottets ståndpunkt till en del bestyrkt av det uttalande, som nyss i ett annat ärende gjordes av utskottets ärade vice ordförande.</w:t>
        <w:br/>
        <w:br/>
        <w:t>Har man nu verkligen resonerat på detta sätt, så är mig detta resonemang inom bankoutskottet mycket förklarligt. Men det förefaller mig, som om ett sådant resonemang ur riksdagens synpunkt icke kunde vara tillfredsställande. Om ett nytt fall, överensstämmande med det föreliggande, i framtiden skulle komma inför riksdagen, d. v. s. om ånyo ett lika upprörande förfaringssätt från statens sida skulle äga rum, så kan väl ingen skada anses ske, utan det måste tvärtom anses som en god sak, om riksdagen även då betraktade det som en hederssak att söka neutralisera de ekonomiska verkningarna för en familj av det skedda handlingssättet. Det har ju mer än en gång hänt, om enskild man under särskilda omständigheter är i behov av hjälp, att riksdagen av rena billighetsskäl fattar beslutet att bispringa honom. Den princip, som riksdagen i dylika fall har att gå efter, kan icke på förhand i alla detaljer preciseras. Ur allmän principsynpunkt kan i sådant avseende icke sägas mera, än att riksdagen bör hjälpande inskrida, när omständigheterna äro sådana, att riksdagens likgiltighet i ärendet skulle verka stötande för allmänhetens känslor, därest allmänheten vore tillfullo insatt i läget. En sådan princip följer därav, att statsmakterna äro att betrakta såsom folkets tjänare och icke tvärtom. Na-</w:t>
        <w:br/>
        <w:br/>
        <w:t>turligtvis kan frågan om tillämpningen av en sådan princip i det konkreta fallet stundom vålla svårigheter. Men är det väl möjligt att i förevarande fall hysa några tvivelsmål om dess tillämplighet? Finns det väl någon medborgare i hela detta land utanför riksdagen — han må tillhöra vilket parti som helst — som skulle annat än gilla, att riksdagen sökte reparera de ekonomiska nackdelarna för den enskilde av ett utan stöd i lag framvuxet system. som kommit statsmaskineriet självt att klicka på en viss punkt? Rent objektivt sett, herr talman — jag anklagar alltså ingen — är det fråga om en rättskränkning, icke företagen av enskild man, utan från det allmännas sida och på ett sådant sätt, att den kränkte själv var berövad alla lagliga resurser att få en ändring till stånd. Det borde vara en självfallen princip för riksdagen att i sådana fall ekonomiskt inskrida, utan att hesitera inför den prejudicerande effekten. Den prejudicerande verkningens farlighet — som uppenbarligen ligger i frekvensen — har riksdagen för övrigt att förebygga genom att undanröja det eländiga system, varav dessa rättskränkningar äro de ständigt upprepade följderna. Det finns ingen annan än den lagstiftande församlingen, som i sådant avseende verkligen kan uträtta något. Såtillvida har riksdagen ytterst det moraliska ansvaret för de vidriga förfaringssätt, som den uppmärksamme iakttagaren på detta område ideligen får bevittna. Detta indirekta ansvar är givetvis endast ytterligare ett skäl för riksdagen att i föreliggande fall godkänna min motion.</w:t>
        <w:br/>
        <w:br/>
        <w:t>Vad som sålunda gentemot utskottsbehandlingen av detta ärende torde böra framhävas är, att det här i verkligheten alls icke är fråga om, vilka principer riksdagen har att följa i vissa pensioneringsfrågor. Hade lag och förordning i detta fall följts och Sköld blivit utnämnd, så skulle Lunds universitets pensionsinrättning ha varit nödgad att till hans efterlevande årligen utbetala en viss summa. Genom att Sköld uteslutits från professuren, inbesparar denna inrättning, som praktiskt taget kan betraktas såsom en avdelning av statskassan, årligen denna summa. Den reella, men av utskottet förbigångna frågeställningen, blir därför slutligen denna: Bör riksdagen verkligen vara med om, att staten medvetet drager ekonomiska fördelar av ett sitt förfaringssätt, som måste vara upprörande för varje medborgares rättskänsla? Det är den frågan, som kammaren genom min motion har att taga ställning till. Denna fråga är fullkomligt skild från allt tal om prejudicerande beslut i pensionsfrågor.</w:t>
        <w:br/>
        <w:br/>
        <w:t>Det har emellertid nu också, både man och man emellan och i första kammarens lördagsdebatt i ämnet, hävdats, att en sådan fråga stode i strid med grundlagens anda. Därvid åsyftas givetvis 90 $ regeringsformen. Nu är det ju så, att en sträng bokstavstolkning av detta stadgande skulle göra nära nog allt reformarbete från riksdagens sida omöjligt. En mängd enligt 89 8 väckta frågor skulle icke kunna i kammaren motiveras. 90 $ måste därför med praktisk nödvändighet tolkas så, att dess användning begränsades till anklagelser, i avseende å ämbetsmäns tillsättande och lagars verkställighet, på ett sådant sätt, att riksdagen uppfordras att omedelbart och direkt uttala sig om lagvidrigheten av ett visst förfarande. Godkännes icke denna principiella begränsning av 90 $, så måste den praxis, som i ämnet nästan dagligen förekommer, betraktas såsom det rena godtycket. Och det säger sig självt. att intet står till den grad i strid med grundlagens anda som godtycklighet.</w:t>
        <w:br/>
        <w:br/>
        <w:t>Man får dock icke i vissa fall, som man till på köpet godtyckligt utvalt, låta realiteterna fullständigt undanträngas av formaliteter, vilka bestämts av regler, härstammande från tider, då tanken på parlamentariskt styrelsesätt ännu var något i vårt land för det allmänna medvetandet fullkomligt främmande. Det är sant, att riksdagen kan tänkas missbruka sin sålunda av för-</w:t>
        <w:br/>
        <w:br/>
        <w:t xml:space="preserve">hållandena framkallade befogenhet att i motiveringen för sina beslut beakta statsmaskineriets sätt att funktionera i enskilda fall. Ett sådant missbruk skulle kunna leda över till försök från riksdagens sida att själv omedelbart ingripa vid ämbetsmäns tilloch avsättande. Emot sådana olyckliga tendenser finnes överhuvud intet annat korrektiv än den inom landet och riksdagen rådande andan. Att i ett bifall till min motion finna ett uttryck för sådana tendenser är med hänsyn till både sakens beskaffenhet och regeringsformens bokstav lika ogrundat som att så betrakta — för att nu taga ett mycket näraliggande exempel — fjolårets beslut angående reformering av det akademiska befordringsväsendet. Hur skulle ett sådant beslut kunna åstadkommas, utan att det rådande systemet belystes med faktiska exempel? Vidare. Hur skall man i riksdagen överhuvud kunna bedöma behovet av en lagändring, om man icke genom andragande av domstolars och myndigheters beslut finge visa, hur gällande lagar tillämpats? Tolkades 90 $ efter orden, skulle inga skäl kunna andragas ens i de viktigaste frågor. Den rena absurditeten alltså! Den stränga bokstaven i 90 $ regeringsformen kan ha betydelse för en forskare i vår statsrätts historia. Men ur politisk synpunkt kan den endast vara en intresselös relik från flydda tider. När sålunda en begränsning 1 90 $:ens räckvidd måste göras, så kan den principiellt icke göras på annat sätt, än som jag förut antytt. Motsatsen skulle innefatta det mest grundlagsvidriga av allt, nämligen själva lagstiftningsförutsättningarnas laglöshet, d. v. s. deras varierande efter talmannens, respektive konstitutionsutskottets, rena godtycklighet. Men därmed måste det också vara höjt över allt tvivel, att såväl min motion som ett eventuellt bifall till densamma måste anses stå i fullständig överensstämmelse med grundlagens nutida anda. Emellertid kan jag likväl icke underlåta att i detta sammanhang erinra därom, att under lördagsdebatten i första kammaren herr Reuterskiöld — icke blott konstitutionsutskottets ordförande utan dessutom vår obestridligen både äldste och främste grundlagsauktoritet — talade för bifall till min motion. Man kan vara övertygad om, att detta icke skulle ha skett, om han funnit sådant bifall stå i strid med grundlagens anda. Under dessa omständigheter är och förblir det, som kammaren nu har att taga ståndpunkt till, följande fråga: Vill riksdagen verkligen vara med om, att staten medvetet drager ekonomiska fördelar av ett förfaringssätt, vargenom den rättsligen förfördelat enskild man och som måste vara upprörande för varje medborgares rättskänsla? Det har sagts, att riksdagens ställningstagande till detta spörsmål icke borde få ske av den anledning, att det innefattade, att riksdagen satte sig till doms i en utnämningsfråga. Konsekvensen av en sådan ståndpunkt vore dock, såsom framgår av det föregående, att riksdagen finge inhibera en väsentlig del av sin beslutande verksamhet. För övrigt borde man lära sig att låta detta vara detta. Bifaller kammaren motionen, så betyder detta i och för sig intet annat, än att den beslutar vissa belopp åt docenten Skölds </w:t>
      </w:r>
      <w:r>
        <w:rPr>
          <w:b/>
        </w:rPr>
        <w:t>änka²</w:t>
      </w:r>
      <w:r>
        <w:rPr>
          <w:b w:val="0"/>
        </w:rPr>
        <w:t xml:space="preserve"> och barn. Att kammaren därvid har bevekelsegrunder för sitt beslut är givet. Men att dekretera, att kammaren i strid med sin övertygelse måste undertrycka vissa bevekelsegrunder, som dock aldrig direkt kunna framträda i beslutet, det är dock alltför jesuitiskt i en parlamentarisk församling.</w:t>
        <w:br/>
        <w:br/>
        <w:t>Mina damer och herrar! När jag på nu anförda grunder — 1 trots av utskottets avvisande hållning till min motion — likväl påyrkar bifall till densamma, så sker detta icke under någon särskild appell till eder känsla för en familj, som ekonomiskt utblottats genom ett upprörande förfaringssätt från själva samhällets sida. Icke heller anropar jag eder förvisso starkt utbildade rättsoch hederskänsla. TI stället tillåter jag mig rikta eder uppmärksamhet på det ovärdiga i, att staten profiterar av ex officio begången rättskränkning</w:t>
        <w:br/>
        <w:br/>
        <w:t>mot enskild person. Mina damer och herrar! Jag vädjar med andra ord till intet annat än eder känsla för statens egen värdighet.</w:t>
      </w:r>
    </w:p>
    <w:p>
      <w:pPr>
        <w:pStyle w:val="Heading2"/>
      </w:pPr>
      <w:r>
        <w:t>7. Zeth Höglund (Socialdemokraterna, man)</w:t>
      </w:r>
    </w:p>
    <w:p>
      <w:r>
        <w:rPr>
          <w:b w:val="0"/>
        </w:rPr>
        <w:t>Herr talman, mina herrar! Det lilla tunna häftet bankoutskottets utlåtande nr 29 med den ominösa huvudrubriken »Allmänna indragningsstaten» innehåller en serie tragedier, berättade i torra fakta, data och siffror.</w:t>
        <w:br/>
        <w:br/>
        <w:t>Tragedien Hannes Sköld är icke den minsta i denna samling.</w:t>
        <w:br/>
        <w:br/>
        <w:t>När en vetenskapsman av Skölds sällsynta mått — en i många hänseenden utomordentligt rikt begåvad och verksam kulturpersonlighet — går bort på höjden av sin arbetskraft, är det en stor personlig tragedi, lika visst som hans död var en stor förlust för svensk språkforskning och för hela vår vetenskapliga kultur. Men smärtsammast för hans närmaste och för hans vänner måste det vara, liksom det var djupast tragiskt för honom själv, att hans bortgång skedde kort efter det, att den blodigaste oförrätt hade kränkt hans person och innan han hade fått den upprättelse, som med all visshet och nödvändighet skulle ha kommit honom till del.</w:t>
        <w:br/>
        <w:br/>
        <w:t>Man säger, att riksdagen är icke berättigad att döma i denna befordringstvist. Må så vara, att ingen av oss kan göra anspråk att äga några språkvetenskapliga förutsättningar för ett omdöme i saken. Men när trettio av världens främsta fackmän, däribland åtminstone två svenskar, förklara Hannes Sköld fullt kompetent till den sökta professuren och endast en man — en svensk, som av många på goda grunder ansetts vara jävig — förklarat honom inkompetent, då torde det vara ytterst få, som i detta sammanhang vilja upprätthålla satsen, att det är minoriteten som har rätt.</w:t>
        <w:br/>
        <w:br/>
        <w:t>Jag är säker på, att om kammarens ledamöter givit sig tid att genomläsa den motion, som professor Lundstedt väckt i ämnet och som han här nyss relaterat i dess kärnpunkter, skulle de ha fått förkrossande bevis, genom de mest framstående auktoriteter, för riktigheten av den uppfattning, som professor Lundstedt förfäktar i denna sak. Jag vill för min del framföra ett tack till professor Lundstedt för den lysande upprättelse, den äreräddning, som han givit åt Hannes Sköld genom denna sin motion, liksom för den frimodighet, varmed han i detta fall och vid många andra tillfällen bekämpat orättfärdiga och vrånga domar. Jag önskar, att vi alla ägde ett samvete lika känsligt som hans.</w:t>
        <w:br/>
        <w:br/>
        <w:t>I utskottsutlåtandet anföres det ett uttalande av docentföreningen i Lund om Hannes Sköld, vari det bl. a. säges, att han av hängivenhet för sin forskning gjort stora personliga ekonomiska uppoffringar, till följd varav han ådragit sig betydande skulder. Jag, som stod Hannes Sköld personligen mycket nära under många år av hans hårda ungdom, kan intyga, att han bokstavligen offrade allt för sin kärlek till vetenskapen. Hela sin ungdom levde han som den armaste proletär: »här får jag middag, där aftonvard», som han själv sjöng i en av sina dikter. Det var en bokstavlig sanning. Han offrade allt blott för att kunna uteslutande ägna sig åt sitt älskade språkstudium. Hannes Sköld var en representant för vad C. J. L. Almqvist på sin tid menade med »den svenska fattigdomen» i dess vackraste gestaltning, den för vilken det materiella betyder ingenting, därför att det andliga betyder allt. En och annan av kammarens ledamöter erinrar sig kanske den utomordentliga karakteristik av svenskt folklynne, som Almqvist givit i sin uppsats om den svenska fattigdomens betydelse. Han prisar där svenskens förmåga att aldrig fästa sig vid ägodelar, att alltid kunna vara fattig. »Han ser kanske trasig och smutsig ut</w:t>
        <w:br/>
        <w:br/>
        <w:t>där han står, men han bär sitt huvud högt, och han ser sig omkring med ögon, som bodde han överallt i stället för ingenstans. Förmågan av denna fjäderrörelse i lynnet, denna spänstighet av ”bort från allt gods" — det är det förnärma, som ligger i allt svenskt blod. — Han känner Gud inom sig och hela jorden inunder sig.» Hannes Sköld ägde denna rikedom i sin svenska fattigdom, och det är hårt att veta, att en sådan man skulle falla offer för en lumpen akademisk byråkratisk intrig.</w:t>
        <w:br/>
        <w:br/>
        <w:t xml:space="preserve">Herr talman, jag har med dessa ord velat rädda min själ. Jag har icke velat stillatigande åse, att den ena orätten skulle få motivera den andra och att Hannes Skölds </w:t>
      </w:r>
      <w:r>
        <w:rPr>
          <w:b/>
        </w:rPr>
        <w:t>hustru²</w:t>
      </w:r>
      <w:r>
        <w:rPr>
          <w:b w:val="0"/>
        </w:rPr>
        <w:t xml:space="preserve"> och tre minderåriga barn skola bli lidande därför, att mannen och fadern tidigare tillfogats en orätt. Jag klandrar visst icke de ledamöter i bankoutskottet, som gjort det bästa möjliga av situationen — jag syftar på reservanterna — och därvid stannat vid ett visst kompromissförslag, som ju nu är antaget i första kammaren. Första kammaren har bifallit reservationen av herr Johansson i Östersund m. fl.; att den skulle acceptera hela rätten är ju uteslutet genom själva grundprinciperna för kammarens existens. Men för andra kammaren finns det inga sådana av naturen givna hinder för utövandet av en fullständig rättvisa i detta fall.</w:t>
        <w:br/>
        <w:br/>
        <w:t>I likhet med professor Lundstedt vill icke heller jag vädja till andra kammarens medkänsla, utan jag vädjar till dess rättskänsla och dess värdighetskänsla, när jag nu yrkar bifall till professor Lundstedts motion.</w:t>
      </w:r>
    </w:p>
    <w:p>
      <w:pPr>
        <w:pStyle w:val="Heading2"/>
      </w:pPr>
      <w:r>
        <w:t>8. Sven Bengtsson (Folkpartiet, man)</w:t>
      </w:r>
    </w:p>
    <w:p>
      <w:r>
        <w:rPr>
          <w:b w:val="0"/>
        </w:rPr>
        <w:t>Herr talman! Debatten i denna fråga — det må jag från början erkänna — går kanske i en litet ovanlig ordning. Det brukar ju vara så att utskottsmajoritetens representanter och reservanterna i första hand yttra sig. Detta är en princip, som jag i allmänhet gillar, men då nu en av motionärerna genast uppträtt i debatten och fått understöd, må det tillåtas mig, som också är motionär, men med ett annat yrkande än hans, att säga några ord i denna fråga.</w:t>
        <w:br/>
        <w:br/>
        <w:t xml:space="preserve">Jag vill då först be talarna att icke diskutera detta ärende ur befordringsfrågans synpunkt. Frågan har vid olika tillfällen varit föremål för kammarens debatt, och jag tror icke att det gagnar på något sätt att fortsätta med anmärkningar härutinnan. Jag delar de båda föregående talarnas synpunkter i många fall, även om jag icke kan komma till det slutresultat som de kommit till. Jag vill med den kännedom jag hade om denne man och hans arbete säga, att här måste riksdagen skipa en rättvisa, som bör tillkomma hans familj, och göra det på det sätt, som vunnit erkännande av det stora flertalet i första kammaren. Jag kan likväl icke neka mig att framhålla att det gjorde på mig ett pinsamt intryck, när jag fick höra hur det var den gången Hannes Sköld återvände från sin stora utländska stipendieresa. Han var på goda skäl förvissad om att när han kom åter till hemlandet skulle professorstiteln redan vara honom given, och hans </w:t>
      </w:r>
      <w:r>
        <w:rPr>
          <w:b/>
        </w:rPr>
        <w:t>fru²</w:t>
      </w:r>
      <w:r>
        <w:rPr>
          <w:b w:val="0"/>
        </w:rPr>
        <w:t xml:space="preserve"> stod just i beredskap att skicka honom ett gratulationstelegram på vägen hem, när </w:t>
      </w:r>
      <w:r>
        <w:rPr>
          <w:b/>
        </w:rPr>
        <w:t>hon²</w:t>
      </w:r>
      <w:r>
        <w:rPr>
          <w:b w:val="0"/>
        </w:rPr>
        <w:t xml:space="preserve"> i stället fick det beskedet — då </w:t>
      </w:r>
      <w:r>
        <w:rPr>
          <w:b/>
        </w:rPr>
        <w:t>hon²</w:t>
      </w:r>
      <w:r>
        <w:rPr>
          <w:b w:val="0"/>
        </w:rPr>
        <w:t xml:space="preserve"> för säkerhets skulle kom att höra efter — att det skulle komma att dröja. När man vet hur frågan om tillsättning av professuren behandlats tidigare — icke minst när hans företrädare utnämndes — och tänker på hur olika man då gick tillväga, blir man beklämd. Men jag menar å andra sidan, att det som varit det må få vara, och det lönar sig icke nu att fälla några hårda domar över vare sig den ena eller den andra institutionen eller myndigheten. Här gäller det endast att tillgodose, i den mån det är möjligt, att de efterlevande få en ordentlig men rättvis pension.</w:t>
        <w:br/>
        <w:br/>
        <w:t xml:space="preserve">Jag kan icke klandra utskottet för, att man kommit till det resultat, som framgår av utlåtandet, eftersom man handlat efter den praxis, som följts år efter år i riksdagen. Men det påvisades i första kammaren av en ledamot två precedensfall, där man avvikit från nuvarande praxis. Likafullt måste jag tillägga, att jag, när det gäller professor Lundstedts försök att förringa faran för prejudikat, icke kan dela hans mening. Jag tror nämligen, att om kammaren här bifaller hans motion, måste det bli gemensam votering, och resultatet av denna kan innebära en risk för prejudikat i framtiden. Man kanske nu tänker sig, att det är ingen risk att gå så långt som möjligt, då man ju vet, att det stora flertalet i första kammaren ställer sig välvilligt, men jag menar, att om den gemensamma voteringen skulle utfalla till förmån för professor Lundstedts motion, kan denna utgång komma att åberopas även i sådana fall där även han på inga villkor skulle vilja vara med om att ge så stor pension. Som motionär får jag ju erkänna, att min motion i själva verket både beträffande </w:t>
      </w:r>
      <w:r>
        <w:rPr>
          <w:b/>
        </w:rPr>
        <w:t>änkan²</w:t>
      </w:r>
      <w:r>
        <w:rPr>
          <w:b w:val="0"/>
        </w:rPr>
        <w:t xml:space="preserve"> och barnen sträcker sig längre än första kammarens beslut och herr Johanssons i Östersund m. fl. reservation. Ur den synpunkten skulle jag alltså kunna instämma med professor Lundstedt. Men jag gör det icke på den grund att det kan bli ett prejudikat, som är farligt i fortsättningen. Jag är inte så säker på att de föregående talarna skulle så kraftigt ha betonat sina sympatier för motionen, om första kammaren icke kommit först och varit så välvillig i sitt beslut. Det torde kanske väga litet i vågskålen att vi här kommit i efterhand — det är, ingen risk att skjuta på, då första kammaren redan intagit en välvillig ställning till saken. Jag menar, att vi böra hålla på det sunda omdömet, och endast ge så mycket, som vi kunna stå för vid kommande tillfällen.</w:t>
        <w:br/>
        <w:br/>
        <w:t>Jag vill sluta med att bedja kammaren att icke onödigtvis uppehålla sig vid själva befordringsfrågan. Det gäller i dag att fatta ett beslut, som kan innebära hjälp för de efterlevande. Jag anser det icke orätt att vara med om detta just av känsloskäl. Min ståndpunkt dikteras både av hänsyn till rättvisan och av känsloskäl — med tanke på dem som här stå så gott som på bar backe, om de icke få den hjälp, som första kammaren redan räckt dem.</w:t>
        <w:br/>
        <w:br/>
        <w:t>Jag ber att få yrka bifall till herr Johanssons i Östersund m. fl. reservation.</w:t>
      </w:r>
    </w:p>
    <w:p>
      <w:pPr>
        <w:pStyle w:val="Heading2"/>
      </w:pPr>
      <w:r>
        <w:t>9. Carl Loven (Socialdemokraterna, man)</w:t>
      </w:r>
    </w:p>
    <w:p>
      <w:r>
        <w:rPr>
          <w:b w:val="0"/>
        </w:rPr>
        <w:t xml:space="preserve">Herr talman! Herr Lundstedt riktade ingen anmärkning mot utskottets eller reservanternas ställningstagande i denna fråga utan menade väl tvärtom att ledamöterna i utskottet gjort så gott de kunnat. Jag vill endast säga, att ingen enda i utskottet ansåg sig kompetent att avgöra denna pensionsfråga mot bakgrunden av den befordringshistoria, som relaterats i herr Lundstedts motion. Orsaken till att jag icke gått längre utöver Kungl. Maj:ts förslag om höjd pension än att jag velat vara med om ett förhöjt uppfostringsbidrag åt barnen, är icke den att jag på något sätt skulle missunna </w:t>
      </w:r>
      <w:r>
        <w:rPr>
          <w:b/>
        </w:rPr>
        <w:t>änkefru²</w:t>
      </w:r>
      <w:r>
        <w:rPr>
          <w:b w:val="0"/>
        </w:rPr>
        <w:t xml:space="preserve"> Sköld </w:t>
      </w:r>
      <w:r>
        <w:rPr>
          <w:b/>
        </w:rPr>
        <w:t>hennes²</w:t>
      </w:r>
      <w:r>
        <w:rPr>
          <w:b w:val="0"/>
        </w:rPr>
        <w:t xml:space="preserve"> pension. Utan orsaken är den, att hittills har icke någon enda </w:t>
      </w:r>
      <w:r>
        <w:rPr>
          <w:b/>
        </w:rPr>
        <w:t>änka²</w:t>
      </w:r>
      <w:r>
        <w:rPr>
          <w:b w:val="0"/>
        </w:rPr>
        <w:t xml:space="preserve">, som är frisk och sund i den ålder, som det här är fråga om, erhållit pension, Vi ha försökt många gånger att utverka en liten pension åt statstjänares änkor, men om de icke varit ålderstigna eller sjuka. har detta ej lyckats. Nu ansåg Jag emellertid, att ett förhöjt uppfostringsbidrag till barnen borde utgå utöver vad Kungl. Maj:t föreslagit. Och beträffande </w:t>
      </w:r>
      <w:r>
        <w:rPr>
          <w:b/>
        </w:rPr>
        <w:t>änkefru²</w:t>
      </w:r>
      <w:r>
        <w:rPr>
          <w:b w:val="0"/>
        </w:rPr>
        <w:t xml:space="preserve"> Sköld resonerade jag som så, att när </w:t>
      </w:r>
      <w:r>
        <w:rPr>
          <w:b/>
        </w:rPr>
        <w:t>hon²</w:t>
      </w:r>
      <w:r>
        <w:rPr>
          <w:b w:val="0"/>
        </w:rPr>
        <w:t xml:space="preserve"> blir äldre eller om </w:t>
      </w:r>
      <w:r>
        <w:rPr>
          <w:b/>
        </w:rPr>
        <w:t>hon²</w:t>
      </w:r>
      <w:r>
        <w:rPr>
          <w:b w:val="0"/>
        </w:rPr>
        <w:t xml:space="preserve"> skulle bli i behov av sjukvård, får väl riksdagen se till att </w:t>
      </w:r>
      <w:r>
        <w:rPr>
          <w:b/>
        </w:rPr>
        <w:t>hon²</w:t>
      </w:r>
      <w:r>
        <w:rPr>
          <w:b w:val="0"/>
        </w:rPr>
        <w:t xml:space="preserve"> erhåller pension.</w:t>
        <w:br/>
        <w:br/>
        <w:t>Detta har, herr talman, varit min ståndpunkt, då jag avgivit den vid utskottets utlåtande fogade reservationen. Jag ber att få yrka bifall till densamma.</w:t>
      </w:r>
    </w:p>
    <w:p>
      <w:pPr>
        <w:pStyle w:val="Heading2"/>
      </w:pPr>
      <w:r>
        <w:t>10. Claes Lindskog (–, man)</w:t>
      </w:r>
    </w:p>
    <w:p>
      <w:r>
        <w:rPr>
          <w:b w:val="0"/>
        </w:rPr>
        <w:t>Herr talman! Jag tror verkligen, att vi allesammans ha skäl att vara tacksamma såväl mot regeringen, speciellt ecklesiastikministern,</w:t>
        <w:br/>
        <w:br/>
        <w:t>som även mot bankoutskottet för den uppenbara välvilja, varmed de behandlat uppföra s denna pensionsfråga. Jag erinrar om att ecklesiastikministern gått längre än bidräg Za statskontoret, i det han föreslagit ökad pension till de minderåriga barnen, och avlidne do-</w:t>
        <w:br/>
        <w:br/>
        <w:t>jag erinrar också om att bankoutskottet har framhållit, att detta är det största centen J. E.</w:t>
        <w:br/>
        <w:br/>
        <w:t>belopp, som man kan påminna sig ha utgått till barn i en sådan situation. Jag deräriga ren kan sålunda fullkomligt förstå bankoutskottets majoritet, som icke velat gå (Forts)</w:t>
        <w:br/>
        <w:br/>
        <w:t>längre, och jag förstår de betänkligheter, som herr Lovén sist framdrog, då han nämnde, att detta beslut lätt kan bli prejudicerande. Det finns emellertid något som heter kulturens offerväsen, något som för övrigt herr Höglund berörde uti i viss mån sympatiska ordalag. Jag tror, att det just vid våra akademier finns exempel på ett dylikt kulturens offerväsen, som gör att man i vissa fall anser sig kunna gå utöver sådana principer, som man annars pensionstekniskt sett — om jag så får säga — skulle anse vara de enda riktiga och möjliga. Detta medför för min del, att då jag väger mellan dessa principiella pensionstekniskt sett riktiga skäl, som bankoutskottets majoritet håller på, och de humanitära skälen, vågar jag gå med på den reservation, som av herr Johansson m. fl. i bankoutskottet framförts.</w:t>
        <w:br/>
        <w:br/>
        <w:t>Därmed skulle jag för min del egentligen kunnat sluta, om icke saken varit den, att här dragits fram synpunkter, som enligt min mening äro fullkomligt ovidkommande. Jag kan hålla med herr Bengtsson i Norup om att egentligen skulle man vilja hålla dessa synpunkter borta. Han kunde emellertid själv icke riktigt underlåta att snudda vid dem. Detta skulle jag dock icke ha fäst mig vid, men såväl i första kammaren som även här i andra kammaren av herr Lundstedt och herr Höglund ha riktats så allvarliga anmärkningar mot Lunds universitet och hela dess lärarekår, att jag icke kan underlåta att i någon mån söka ställa den saken till rätta, då det är min fullkomliga övertygelse, att dessa anklagelser äro i allra högsta grad orättvisa och obefogade. De vittna om den fullständiga obekantskapen med de verkliga förhållanden, som råda, och de vittna också om den utomordentligt ensidiga uppläggning, som professor Lundstedt gjort i sin motion. Jag är nödgad att säga detta, då i ett anförande nyss t. o. m. talades om en »lumpen akademisk intrig». Herr Höglund använde ordet »upprörande». Jag vill också använda det ordet. Det användes av herr Trygger i första kammaren som svar å dylika anklagelser, och jag måste säga, att det är upprörande att höra personer, som verkligen icke äro inne i det akademiska befordringsväsendet — och speciellt det svenska — komma med så starka och obefogade ord.</w:t>
        <w:br/>
        <w:br/>
        <w:t>Här talas det om att man blott hade en enda sökande, Sköld, en person, vars begåvning jag icke ett ögonblick sätter i fråga. Det var uppenbarligen en stor språkbegåvning, men därmed sammanhänger ingalunda, att man behöver förklara honom kompetent till en professur. Det kan förefalla egendomligt vid första påseende, att professor Lundstedt kunnat mobilisera upp en hel rad av utländska vetenskapsmän, som förklarat Sköld kompetent, och att sedan universitet i Lund likväl enhälligt förklarat honom inkompetent. Men saken är helt förklarlig. Mina herrar, jag skall taga ett exempel. Jag skall kanske börja med att berätta om något som jag själv upplevat och som hände mig för några år tillbaka vid ett berömt universitet i ett av våra södra grannländer, när man skulle tillsätta en professur i grekiska. Jag nämnde då till den som främst hade avgörandet i sina händer — en person som på grund av hela sin ställning vid universitetet hade mest att bestämma — att det väl vore givet att X. skulle få professuren. Nej, blev svaret, det</w:t>
        <w:br/>
        <w:br/>
        <w:t>är visserligen naturligtvis klart, att X. är mest meriterad av alla — därom finns ingen tvekan — men vi tycka icke att han lämpar sig för platsen! Han är litet gammal — snart 50 år. Men vi ha tyvärr ingen yngre, som är</w:t>
        <w:br/>
        <w:br/>
        <w:t>vidare meriterad. Så nämnde han en för mig fullkomligt obekant man och</w:t>
        <w:br/>
        <w:br/>
        <w:t>sade att han hoppades att denne skulle komma därhän, att de kunde taga honom, även om han naturligtvis icke kunde gå upp mot X. i rena meriter.</w:t>
        <w:br/>
        <w:br/>
        <w:t>Jag säger detta för att visa det fullkomligt olikartade sätt, varpå ett akademiskt befordringsärende behandlas i Sverige och i allmänhet i utlandet. Där går man fram så att säga på känn, rent subjektivt. Man säger, att den och den vill man ha, den och den lämpar sig för platsen; den som efter våra befordringsprinciper kanske skulle vara den ende tänkbare säger man sig icke vilja ha. Jag framhåller den saken blott för att ge exempel på den stora skillnaden i befordringsprinciper. I våra universitetsstatuter heter det att endast graden av ådagalagd vetenskaplig skicklighet skall gälla, under det att man i utlandet vid de allra flesta universitet icke alls på samma sätt som hos oss väger de utgivna böckerna med guldvikt utan i stället förklarar, att den eller den känna vi som en duktig karl och honom taga vi.</w:t>
        <w:br/>
        <w:br/>
        <w:t>Hos oss är professorskompetens något helt annat än docentkompetens. En docent kan bli förordnad till professor ögonblickligen efter sin docentutnämning. Han kan sköta en professur ett år eller flera år utmärkt, och ändå kan han bli förklarad inkompetent. En professorskompetens är hos oss, om jag så får säga, en docentkompetens dubbelt upp. Man skall utveckla och fördjupa docentkompetensen; man skall visa med fullödiga arbeten en kvalificerad kompetens. Detta är någonting som i utlandet är ganska okänt. Den som förestår min professur för närvarande är en ung man i Lund, en högt begåvad man, som nu i flera år på utmärkt sätt förestått professuren, när jag varit i riksdagen. I detta ögonblick torde han icke ännu ha hunnit att förvärva vad vi kalla full professorskompetens. Men man kan vara övertygad om, att om jag skrev till utländska sakkunnniga så här: vi tänka vid Stockholms högskola söka få inrättad en professur i grekiska, och om ni ville vara vänliga att förklara vederbörande kompetent till att inneha professuren, så skulle det gå mycket lättare att skaffa pengar — ja säkerligen skulle jag då inom tre veckor ha minst trettio utlåtanden, där man förklarade att naturligtvis anser man denne unge man vara utmärkt kvalificerad och kompetent för professuren!</w:t>
        <w:br/>
        <w:br/>
        <w:t>Jag säger detta för att visa, med vilken försiktighet man får gå till väga, då man framhåller att universitetet i Lund förklarat en man inkompetent, som trettio utländska sakkunniga förklarat kompetent. Vad vi från universitetshåll vilja ha, är nämligen en motiverad kompetensförklaring — icke en motivering i allmänna ordalag: att han är högt begåvad, att han visat ett utomordentligt intresse, att han har stora kunskaper o. s. v. Vi vilja ha ett ingående på mannens skrifter, ett vägande av vad dessa äro värda. Vi vilja icke ha förhoppningar utan en sträng kompetensförklaring. Jag kan taga ett exempel. Herrarna säga att det är upprörande att Sköld blivit förklarad inkompetent på sätt som skett. Men det hände för två år sedan i Uppsala — det förvånar mig att herr Lundstedt aldrig tagit upp den frågan! — när det gällde en professur i anatomi, att en person blev förklarad kompetent av samtliga fyra sakkunniga, dock med stor tvekan av den fjärde, och att konsistoriet likväl förklarade honom inkompetent med nio röster mot sju. Där se herrarna att sådant kan hända. Vad universitetsmyndigheterna vilja ha är en verklig motivering, så att dessa myndigheter, som representera den kontinuitet, som de enskilda sakkunniga icke ha, och som allra minst de utländska sakkunniga ha, ha något att hålla sig till. Det är detta som gör, att den förfrågan, som herr Lundstedt har ställt till de utländska sakkunniga, är fullständigt värdelös. Det är en högst egendomlig fråga, han ställt till dem. Hen säger: då jag kan tänka mig att ni icke ha tid att gå in utförligt på saken, bifogar jag en pappersremsa, där det står »kompetent» och »icke kompetent» — var snäll stryk ut det icke önskade! Det är ungefär som när man skickar</w:t>
        <w:br/>
        <w:br/>
        <w:t>ut ett frågeformulär om vad som helst. Sådana kompetensförklaringar anse vi värdelösa.</w:t>
        <w:br/>
        <w:br/>
        <w:t>Nu kommer man och säger, att det dock var två sakkunniga, en norrman och en svensk — det var icke två svenskar, såsom det påstods av misstag nyss av hr Höglund — , som förklarade Sköld kompetent. Ja, det är riktigt, men även här gäller det, att vi måste se på motiveringen och icke bara på slutsatsen. Det egendomliga var, att av dessa två personer, vilkas slutkläm blev en kompetensförklaring, förklarade den speciellt sakkunnige i sanskrit, i indologi, nämligen professor Konow i Oslo: Indolog är Sköld icke, åtminstone icke ännu, men i jämförande språkforskning är han nog bra. Och den som var speciellt sakkunnig i jämförande språkforskning, nämligen professor Lidén i Göteborg, riktade mycket skarpa anmärkningar mot honom i jämförande språkforskning men ansåg, att i sanskrit och indologi kunde han nog duga! Den tredje sakkunnige, professor Wiklund, riktade mot en ganska stor del av Skölds produktion — i finsk-ugriska språk, ett gränsområde till professuren — den anmärkningen, att hans skrifter där icke hade det värde, att de betydde någonting för en kompetensförklaring, och han gjorde mycket skarpa metodologiska anmärkningar mot Skölds författarskap.</w:t>
        <w:br/>
        <w:br/>
        <w:t>Det tillsattes då — det var på min föredragning — en ny sakkunnig. Jag vill påpeka, att då Kungl. Maj:ts beslut den gången kom, mottogs det i hela svenska pressen — speciellt i den del av pressen, som sökte åtaga sig Skölds sak — uteslutande med gillande och bifall. Då var det ingen kritik. Nu däremot, när resultatet visat sig, kallar en talare i första kammaren det för en »infernalisk åtgärd» att föreskriva val av en ny sakkunnig. Och herr Lundstedt drog sig icke för att öppet säga, att denne sakkunnige var jävig. På vilka grunder skulle han vara jävig? Ja, huvudgrunden, som herr Lundstedt först anförde, är följande. Den sakkunniges gamle lärare, professor Johansson i Uppsala, avliden sedan flera år tillbaka, hade också om docenten Sköld den uppfattningen, att han var inkompetent, och därför krävde, menar herr Lundstedt, en viss pietet mot Johanssons minne, att även Charpentier skulle gå in för samma uppfattning! Kan man säga, mina herrar — handen på hjärtat —, att detta är en jävsgrund, att man haft en lärare som haft samma uppfattning? I så fall borde det icke stå i universitetsstatuterna som det nu står, att till sakkunniga skola företrädesvis utses svenska sakkunniga, utan då borde det stå, att till sakkunniga få aldrig utses några svenskar. Ty skall sådant vara jävsgrund, kan man alltid hitta på en jävsgrund mot en svensk sakkunnig. Med de övriga jävsgrunderna är det på samma sätt. Att vederbörande legat under åtskilliga år i vetenskaplig polemik med varandra, är något som förekommer i de bästa familjer. Det förekommer alltid, att vetenskapsmän ligga i tvist om en eller annan sak. Det ligger väl ändå i det vetenskapliga arbetets egen natur. Och inte blir man jävig därför att man sökt professur tillsammans med en annan. Jag har flera gånger varit sakkunnig beträffande personer, som jag förut sökt professur ihop med. Jag har alltid ansett, att en gentleman snarare — om det nu skall vara någon skillnad försöker göra så mycket som möjligt för att skaffa denne sin förre medtävlare en professur, om han förtjänar det. Det är egendomligt att herr Lundstedt kan anse, att man är jävig, därför att man haft en lärare, som haft samma mening. Jag undrar vad herr Lundstedt hade för jäv mot sig själv i fjol, när han så skarpt anmärkte på mitt omdöme i striden om filosofiprofessuren. Är icke Lundstedt en synnerligen hängiven anhängare och vän till professor Hägerström? Och ändå ansåg han sig icke jävig att taga Hägerströms parti. Nej, herr Lundstedt, sådana jävsgrunder duga icke.</w:t>
        <w:br/>
        <w:br/>
        <w:t>Jag skulle vidare vilja säga, att det i handlingarna återgivna brev, som herr Tundstedt skickat ut till de utländska sakkunniga, är ett mönster — för att</w:t>
        <w:br/>
        <w:br/>
        <w:t>icke säga ett monstrum — för huru en opartisk uppläggning icke skall vara. I stället för att, när man frågar utländska sakkunniga, lägga upp saken absolut opartiskt — vid våra universitet har man särskilda formulär för det ändamålet — talar herr Lundstedt om att Sköld blivit föremål för en orättvis behandling, som är upprörande, och att riksdagen själv, såsom han med tydliga ordalag insinuerar, ansett detta. Han talar vidare om att det är fråga om att upprätta en professur vid Stockholms högskola och att det skall bli mycket lättare att skaffa denna, om vederbörande bara förklara Sköld kompetent. D. v. s. man lockar utländska sakkunniga med att om de bara vilja förklara Sköld kompetent, får man en ny professur i Sverige i deras ämne. Och detta skola vi sammanställa med vad en utländsk sakkunnig inlägger i ordet »kompetent»: att vederbörande duger att sköta professur.</w:t>
        <w:br/>
        <w:br/>
        <w:t>Jag får säga, att när jag studerat detta ärende grundligt — och jag har, herr Lundstedt, dokument, som icke finnas i handlingarna och som verkligen ställa herr Lundstedts beteende i ännu allvarligare dager — har jag icke kunnat anse, att herr Lundstedt har visat den objektivitet och upphöjda opartiskhet. som gör att herr Lundstedt har rätt att uppställa sig såsom något slags överdomare beräffande det svenska befordringsväsendet. Herr Trygger kallade med all rätt denna sak upprörande. Jag vill erinra om hur i Lund vid denna befordringsfrågas behandling bl. a. följande personer röstade för inkompetens: professorerna Wicksell, Martin P:son Nilsson, Weibull, Löfstedt, Walberg, Moberg, Gustaf Petrén, Einar Sjövall, Bergman, Herner, Björling m. fl. Om man tror, att det skulie ligga någon politisk partiskhet i denna sak, så vill Jag erinra om att Einar Sjövall bägge gångerna röstade för inkompetensförklaring, och att Bergman, som är insatt i kommittén för befordringsfrågor och är upphovsman till den motion i ämnet, som i fjol väcktes, röstade på samma sätt. Och ifall man tror, i likhet med en ärad talare för en stund sedan, att det här föreligger en akademisk intrig, så måtte icke Lund vara ensam om denna. Här finns t. ex. professor Josephson — den bekante konsthistorikern och skådespelsförfattaren — som första gången icke var med vid befordringsärendets handläggning men andra gången, när han kom till Lund och satte sig in i saken, utan tvekan röstade för inkompetensförklaring. Hans slutord äro för övrigt så kloka, att jag skall be att få uppläsa dem här i kammaren. Han säger: »Rent formellt skulle alltså alltjämt kunna hävdas, att docent Sköld kunde vara berättigad till en med stor tvekan utfärdad kompetensförklaring. En dylik form av kompetensförklaring kan hava sitt berättigande, när det gäller en under utveckling varande, yngre forskare, som, föregången av mera meriterade, i varje fall icke vid det ifrågavarande tillfället kan komma att besätta den sökta platsen. Men när det gäller en till mogen ålder kommen forskare, som dessutom är ende sökande och där sålunda en kompetensförklaring, med hur starka reservationer den än är kringskuren, i själva verket medförde att professuren skulle komma att med denne sökande besättas, synes denna form av villkorlig kompetensförklaring icke böra ifrågakomma.» Således: även han drages in i denna s. k. lumpna akademiska intrig!</w:t>
        <w:br/>
        <w:br/>
        <w:t>Jag har själv icke varit med om att i Lund handlägga frågan, men naturligtvis har också jag fått min beskärda dom i motionen, och tankegången beträffande min anpart är den: därför att jag såsom departementschef följde den mening, som företräddes av samtliga akademiska professorer i Lund, vil-</w:t>
        <w:br/>
        <w:br/>
        <w:t>ka hade frågan om kompetensförklaringen om hand —- en mening som också omfattades av tillförordnade kanslern — i stället för att följa herr Lundstedts mening, vore det enda riktiga att ställa mig inför — riksrätt. Ja</w:t>
        <w:br/>
        <w:br/>
        <w:t>så står det i motionen, och jag beklagar endast, att professor Lundstedt icke dragit ut konsekvenserna. Han säger, att paragrafen i regeringsformen om riksrätt tyvärr är en utdöd bokstav. Jag skulle vilja be herr Lundstedt väcka</w:t>
        <w:br/>
        <w:br/>
        <w:t>den till nytt liv, genom att han söker att ställa om åtal inför riksrätt Ang. mot mig! uppföstrings- Jag skall sluta med några kloka och riktiga ord, som Lunds universitets avlidns dorektor nyligen yttrat i en inbjudningsskrift till en professorsinstallation: »Det centen J. E. vore icke oskäligt, om den insikten kunde vinna någon allmännare spridning, Skölds minatt i oklara fall avgörandet i regel är svårast för dem som tyngst känna ansvaderåriga barn. ret. Den dömer lättast och mest bestämt, som dömer ansvarslöst.» (Forts.) Herr talman, jag ber att få yrka bifall till herr Johanssons m. fl. reservation.</w:t>
      </w:r>
    </w:p>
    <w:p>
      <w:pPr>
        <w:pStyle w:val="Heading2"/>
      </w:pPr>
      <w:r>
        <w:t>11. Nils Winkler (–, man)</w:t>
      </w:r>
    </w:p>
    <w:p>
      <w:r>
        <w:rPr>
          <w:b w:val="0"/>
        </w:rPr>
        <w:t xml:space="preserve">Herr talman! Det vare långt ifrån mig att försöka ge mig in på någon diskussion baserad på professor Lundstedts motion om höjd pension eller höjt understöd åt </w:t>
      </w:r>
      <w:r>
        <w:rPr>
          <w:b/>
        </w:rPr>
        <w:t>änkan²</w:t>
      </w:r>
      <w:r>
        <w:rPr>
          <w:b w:val="0"/>
        </w:rPr>
        <w:t xml:space="preserve"> Sköld och </w:t>
      </w:r>
      <w:r>
        <w:rPr>
          <w:b/>
        </w:rPr>
        <w:t>hennes²</w:t>
      </w:r>
      <w:r>
        <w:rPr>
          <w:b w:val="0"/>
        </w:rPr>
        <w:t xml:space="preserve"> barn. Jag kan meddela, att vi naturligtvis läst denna icke mindre än 19 sidor långa motion i bankoutskottet, men att vi ägnat den mycket liten uppmärksamhet, då vi ansett att bankoutskottet icke under några förhållanden skulle kunna grunda ett förslag till riksdagen på en närmare granskning eller undersökning av vad vissa vetenskapsmän yttrat med avseende å förslaget om docenten Skölds befordran till professor. Vi veta ju alla vad saken gäller, nämligen att Sköld hade sökt en professur i sanskrit, ett gammalt indiskt språk, men att de vetenskapsmän, som hade att yttra sig, avstyrkt utnämningen. De föregående talarna ha dessutom mycket ingående uppehållit sig vid denna fråga.</w:t>
        <w:br/>
        <w:br/>
        <w:t xml:space="preserve">Det kan inte vara tal om, tror jag, att riksdagen skulle med en sådan motivering gå in på att bevilja docenten Skölds </w:t>
      </w:r>
      <w:r>
        <w:rPr>
          <w:b/>
        </w:rPr>
        <w:t>änka²</w:t>
      </w:r>
      <w:r>
        <w:rPr>
          <w:b w:val="0"/>
        </w:rPr>
        <w:t xml:space="preserve"> och barn pension såsom om han varit professor.</w:t>
        <w:br/>
        <w:br/>
        <w:t xml:space="preserve">Sedan ha vi huvudfrågan. Kungl. Maj:t har föreslagit att riksdagen skulle förfara såsom hittills och icke lämna </w:t>
      </w:r>
      <w:r>
        <w:rPr>
          <w:b/>
        </w:rPr>
        <w:t>fru²</w:t>
      </w:r>
      <w:r>
        <w:rPr>
          <w:b w:val="0"/>
        </w:rPr>
        <w:t xml:space="preserve"> Sköld pension, då vi hittills följt den praxis att änkor vid så unga år som </w:t>
      </w:r>
      <w:r>
        <w:rPr>
          <w:b/>
        </w:rPr>
        <w:t>fru²</w:t>
      </w:r>
      <w:r>
        <w:rPr>
          <w:b w:val="0"/>
        </w:rPr>
        <w:t xml:space="preserve"> Sköld och som därtill äro friska icke skola ha någon pension, åtminstone icke en sådan där godtycklig pension, som riksdagen skall besluta om. Mannen tillhörde ju icke någon pensionskassa, som berättigar </w:t>
      </w:r>
      <w:r>
        <w:rPr>
          <w:b/>
        </w:rPr>
        <w:t>henne²</w:t>
      </w:r>
      <w:r>
        <w:rPr>
          <w:b w:val="0"/>
        </w:rPr>
        <w:t xml:space="preserve"> till </w:t>
      </w:r>
      <w:r>
        <w:rPr>
          <w:b/>
        </w:rPr>
        <w:t>änkepension²</w:t>
      </w:r>
      <w:r>
        <w:rPr>
          <w:b w:val="0"/>
        </w:rPr>
        <w:t xml:space="preserve"> och dessutom var han icke statstjänsteman utan docent, d. v. s. en person, som söker skaffa sig meriter för att med tiden bli professor. Nu innefattar icke förslaget någon pension till </w:t>
      </w:r>
      <w:r>
        <w:rPr>
          <w:b/>
        </w:rPr>
        <w:t>änkan²</w:t>
      </w:r>
      <w:r>
        <w:rPr>
          <w:b w:val="0"/>
        </w:rPr>
        <w:t xml:space="preserve"> Sköld men för barnen ha vi tillstyrkt 384 kronor, d. v. s. det högsta belopp, som någonsin av riksdagen beviljats i understöd till barnuppfostran. Nu vilja en del reservanter bevilja </w:t>
      </w:r>
      <w:r>
        <w:rPr>
          <w:b/>
        </w:rPr>
        <w:t>änkan²</w:t>
      </w:r>
      <w:r>
        <w:rPr>
          <w:b w:val="0"/>
        </w:rPr>
        <w:t xml:space="preserve"> 600 kronor och barnen 384 kronor vardera och min vän Lovén vill att barnen skola ha 600 kronor men </w:t>
      </w:r>
      <w:r>
        <w:rPr>
          <w:b/>
        </w:rPr>
        <w:t>änkan²</w:t>
      </w:r>
      <w:r>
        <w:rPr>
          <w:b w:val="0"/>
        </w:rPr>
        <w:t xml:space="preserve"> ingenting. Jag hemställer att andra kammaren måtte besluta i enlighet med bankoutskottets förslag, d. v. s. att ingen pension skulle utgå till </w:t>
      </w:r>
      <w:r>
        <w:rPr>
          <w:b/>
        </w:rPr>
        <w:t>änkan²</w:t>
      </w:r>
      <w:r>
        <w:rPr>
          <w:b w:val="0"/>
        </w:rPr>
        <w:t xml:space="preserve"> Sköld, men däremot 384 kronor till vartdera av barnen.</w:t>
        <w:br/>
        <w:br/>
        <w:t xml:space="preserve">Nu är det ju bekant, och det framgår för övrigt av handlingarna här, att </w:t>
      </w:r>
      <w:r>
        <w:rPr>
          <w:b/>
        </w:rPr>
        <w:t>fru²</w:t>
      </w:r>
      <w:r>
        <w:rPr>
          <w:b w:val="0"/>
        </w:rPr>
        <w:t xml:space="preserve"> Sköld endast är 38 år gammal och, såvitt vi känna, lider </w:t>
      </w:r>
      <w:r>
        <w:rPr>
          <w:b/>
        </w:rPr>
        <w:t>hon²</w:t>
      </w:r>
      <w:r>
        <w:rPr>
          <w:b w:val="0"/>
        </w:rPr>
        <w:t xml:space="preserve"> icke av någon sjukdom utan </w:t>
      </w:r>
      <w:r>
        <w:rPr>
          <w:b/>
        </w:rPr>
        <w:t>hon²</w:t>
      </w:r>
      <w:r>
        <w:rPr>
          <w:b w:val="0"/>
        </w:rPr>
        <w:t xml:space="preserve"> bör kunna försörja sig själv. Ett belopp av 384 kronor till varje barn är ju en knapp summa, men det är den högsta summa, som riksdagen hittills beviljat för sådant ändamål. Skulle herrarna, som man gjort i första kammaren, gå på den reservation, som innebär en pension av 600 kronor till </w:t>
      </w:r>
      <w:r>
        <w:rPr>
          <w:b/>
        </w:rPr>
        <w:t>änkan²</w:t>
      </w:r>
      <w:r>
        <w:rPr>
          <w:b w:val="0"/>
        </w:rPr>
        <w:t xml:space="preserve"> och 384 kronor till barnen, är därmed gärdet uppgivet och då måste bankoutskottet och riksdagen framdeles i liknande fall bevilja 600 kronor till änkor och 384 kronor till deras barn. Om man vill gå den vägen att begränsa sig till att giva dylik pension åt änkor efter docenter och högre statstjänstemän ginge det väl an. Herr Lovén sade emellertid att vi många gånger sökt få </w:t>
      </w:r>
      <w:r>
        <w:rPr>
          <w:b/>
        </w:rPr>
        <w:t>änkepensionerna²</w:t>
      </w:r>
      <w:r>
        <w:rPr>
          <w:b w:val="0"/>
        </w:rPr>
        <w:t xml:space="preserve"> höjda, men att det hittills icke lyckats. Nu hoppades man att här få en inkörsport i den riktningen. Är det meningen att vi skola över lag giva änkorna 600 kronor och barnen 384 kronor eller skall detta endast gälla</w:t>
        <w:br/>
        <w:br/>
        <w:t xml:space="preserve">änkor och barn efter docenter och högre statstjänstemän? Förut ha socialdemokraterna i bankoutskottet fört det resonemanget, att till fattiga änkor och deras barn bör utgå lika belopp i pensioner och understöd. Bidraget till barnuppfostran har förut varierat mellan 300 och 384 kronor, och det tycker jag vi böra stå fast vid. Jag anser nämligen, att om vi gå med på denna höjning av pensionen på sätt första kammaren beslutat, måste vi behandla nästa ärende, där det gäller pension till </w:t>
      </w:r>
      <w:r>
        <w:rPr>
          <w:b/>
        </w:rPr>
        <w:t>änkan²</w:t>
      </w:r>
      <w:r>
        <w:rPr>
          <w:b w:val="0"/>
        </w:rPr>
        <w:t xml:space="preserve"> Söderström, på samma sätt och så gjorde man även 1 första kammaren. Men jag går längre och vågar påstå, att om regeringen framlägger förslag om </w:t>
      </w:r>
      <w:r>
        <w:rPr>
          <w:b/>
        </w:rPr>
        <w:t>änkepension²</w:t>
      </w:r>
      <w:r>
        <w:rPr>
          <w:b w:val="0"/>
        </w:rPr>
        <w:t xml:space="preserve"> eller om herr Hamrin såsom riksdagsman kommer fram med motion om </w:t>
      </w:r>
      <w:r>
        <w:rPr>
          <w:b/>
        </w:rPr>
        <w:t>änkepension²</w:t>
      </w:r>
      <w:r>
        <w:rPr>
          <w:b w:val="0"/>
        </w:rPr>
        <w:t xml:space="preserve"> i liknande fall som fallet Cronström, vars pension vi nyss avslogo, så måste vi behandla dylika förslag på samma sätt som nu förevarande fall. Men när vi behandlade frågan om pension till </w:t>
      </w:r>
      <w:r>
        <w:rPr>
          <w:b/>
        </w:rPr>
        <w:t>änkan²</w:t>
      </w:r>
      <w:r>
        <w:rPr>
          <w:b w:val="0"/>
        </w:rPr>
        <w:t xml:space="preserve"> Cronström, fanns det intet prejudikat att stödja sig på och följaktligen yttrade jag mig då, som jag gjorde. Skola vi icke begränsa dylika pensioner till blott docentänkor, så blir, herr talman, konsekvensen, det får herrarna komma ihåg, att det kommer att kosta mycket pengar.</w:t>
        <w:br/>
        <w:br/>
        <w:t xml:space="preserve">Jag hemställer, att riksdagen måtte antaga bankoutskottets förslag och bevilja vartdera av barnen 384 kronor och ingenting åt </w:t>
      </w:r>
      <w:r>
        <w:rPr>
          <w:b/>
        </w:rPr>
        <w:t>änkan²</w:t>
      </w:r>
      <w:r>
        <w:rPr>
          <w:b w:val="0"/>
        </w:rPr>
        <w:t>.</w:t>
      </w:r>
    </w:p>
    <w:p>
      <w:pPr>
        <w:pStyle w:val="Heading2"/>
      </w:pPr>
      <w:r>
        <w:t>12. Helge Bäcklund (Socialdemokraterna, man)</w:t>
      </w:r>
    </w:p>
    <w:p>
      <w:r>
        <w:rPr>
          <w:b w:val="0"/>
        </w:rPr>
        <w:t>Herr talman! Det var en gammal religiös man, som yttrade, att det finnes mycken djävulskap i kristendomen, och jag trodde den mannen. Hade han också sagt detsamma, när det gäller befordringsväsendet vid våra universitet och i synnerhet, när det gäller professorsutnämningar, hade jag trott honom då också. Jag är icke på något som helst sätt sakkunnig på detta område, när det gäller professorsutnämningar, men jag har ju läst en del om sådana saker, när det varit fråga om att utnämna någon till professor. Jag har läst herr Lundstedts motion och jag kan icke värja mig för den tankegången att skulle jag fälla ett utslag för eller emot den Sköldska befordringen komme jag att ställa mig på herr Lundstedts uppfattning.</w:t>
        <w:br/>
        <w:br/>
        <w:t xml:space="preserve">När det gällt för bankoutskottet att taga ställning till den här frågan om pension, anser jag däremot att vi icke på något som helst sätt böra blanda in befordringsfrågan och det har varken de som stått för reservtionen eller för utskottets utlåtande gjort. Det torde alltså enligt mitt sätt att se vara omöjligt för bankoutskottet att i denna </w:t>
      </w:r>
      <w:r>
        <w:rPr>
          <w:b/>
        </w:rPr>
        <w:t>änkeoch²</w:t>
      </w:r>
      <w:r>
        <w:rPr>
          <w:b w:val="0"/>
        </w:rPr>
        <w:t xml:space="preserve"> pupillpensionering inblanda befordringsfrågor. Vill däremot kammaren besluta i enlighet med herr Lundstedts motion så är ju detta en helt annan sak. Det har ju kammaren frihet och möjlighet att göra och äro vi övertygade om att vi därmed skipa rättvisa, har jag naturligtvis ingenting emot, om kammaren icke följer den reservation, som jag också nu står antecknad för. Vid behandlingen i 1 utskottet gällde det för mig att få fram den bästa möjliga pension till </w:t>
      </w:r>
      <w:r>
        <w:rPr>
          <w:b/>
        </w:rPr>
        <w:t>änkan²</w:t>
      </w:r>
      <w:r>
        <w:rPr>
          <w:b w:val="0"/>
        </w:rPr>
        <w:t xml:space="preserve"> Sköld och </w:t>
      </w:r>
      <w:r>
        <w:rPr>
          <w:b/>
        </w:rPr>
        <w:t>hennes²</w:t>
      </w:r>
      <w:r>
        <w:rPr>
          <w:b w:val="0"/>
        </w:rPr>
        <w:t xml:space="preserve"> minderåriga barn och av den anledningen har jag i utskottet yrkat, att vi skulle följa docentföreningens förslag, så att </w:t>
      </w:r>
      <w:r>
        <w:rPr>
          <w:b/>
        </w:rPr>
        <w:t>änkan²</w:t>
      </w:r>
      <w:r>
        <w:rPr>
          <w:b w:val="0"/>
        </w:rPr>
        <w:t xml:space="preserve"> skulle fa 1.200 kronor och därtill 40 2 på </w:t>
      </w:r>
      <w:r>
        <w:rPr>
          <w:b/>
        </w:rPr>
        <w:t>änkepensionen²</w:t>
      </w:r>
      <w:r>
        <w:rPr>
          <w:b w:val="0"/>
        </w:rPr>
        <w:t xml:space="preserve"> för det första barnet och 10 Z av </w:t>
      </w:r>
      <w:r>
        <w:rPr>
          <w:b/>
        </w:rPr>
        <w:t>änkepensionen²</w:t>
      </w:r>
      <w:r>
        <w:rPr>
          <w:b w:val="0"/>
        </w:rPr>
        <w:t xml:space="preserve"> för vartdera av de övriga barnen. Det var alltså den pension, som </w:t>
      </w:r>
      <w:r>
        <w:rPr>
          <w:b/>
        </w:rPr>
        <w:t>fru²</w:t>
      </w:r>
      <w:r>
        <w:rPr>
          <w:b w:val="0"/>
        </w:rPr>
        <w:t xml:space="preserve"> Sköld skulle fått, om mannen hade varit delaktig i pensionskassan. Docentföreningen i Lund har också hemställt, som sagt, om en sådan pension och en sådan pension har jag ansett vara rättvis och jag anser det fortfarande. Men när det har gällt att i sista hand taga ställning till saken måste Jag, för att vi skulle kunna åstadkomma en någorlunda stark reservation och vinna det mesta möjliga, gå över och gå med på den reservation, som herr Johansson i Östersund m. fl. fogat till detta utskottsutlåtande och vilken reservation innebär en avsevärt mindre pension till </w:t>
      </w:r>
      <w:r>
        <w:rPr>
          <w:b/>
        </w:rPr>
        <w:t>änkan²</w:t>
      </w:r>
      <w:r>
        <w:rPr>
          <w:b w:val="0"/>
        </w:rPr>
        <w:t xml:space="preserve">. I den reservationen har vi yrkat på 600 kronors pension till </w:t>
      </w:r>
      <w:r>
        <w:rPr>
          <w:b/>
        </w:rPr>
        <w:t>änkan²</w:t>
      </w:r>
      <w:r>
        <w:rPr>
          <w:b w:val="0"/>
        </w:rPr>
        <w:t xml:space="preserve"> och 384 kronor till vartdera av barnen.</w:t>
        <w:br/>
        <w:br/>
        <w:t>Herr Lovén har här gjort gällande att riksdagen icke tidigare skulle gått</w:t>
        <w:br/>
        <w:br/>
        <w:t xml:space="preserve">med på att bevilja pension till änkor, som varit så unga som denna, men det är alldeles fel. Jag kan åberopa ett fall som ligger nära. Riksdagen har 1928 beviljat </w:t>
      </w:r>
      <w:r>
        <w:rPr>
          <w:b/>
        </w:rPr>
        <w:t>änkan²</w:t>
      </w:r>
      <w:r>
        <w:rPr>
          <w:b w:val="0"/>
        </w:rPr>
        <w:t xml:space="preserve"> efter notarien å extra stat i Riksförsäkringsanstalten A. E. Nordgren en pension på 720 kronor. Denna </w:t>
      </w:r>
      <w:r>
        <w:rPr>
          <w:b/>
        </w:rPr>
        <w:t>änka²</w:t>
      </w:r>
      <w:r>
        <w:rPr>
          <w:b w:val="0"/>
        </w:rPr>
        <w:t xml:space="preserve"> var 41 år och hade inga barn. </w:t>
      </w:r>
      <w:r>
        <w:rPr>
          <w:b/>
        </w:rPr>
        <w:t>Änkan²</w:t>
      </w:r>
      <w:r>
        <w:rPr>
          <w:b w:val="0"/>
        </w:rPr>
        <w:t xml:space="preserve"> Sköld fyllde den 14 april 39 år och har tre minderåriga barn. Jag anser att riksdagen ingalunda springer ifrån vad den tidigare beslutat, om den beviljar Skölds </w:t>
      </w:r>
      <w:r>
        <w:rPr>
          <w:b/>
        </w:rPr>
        <w:t>änka²</w:t>
      </w:r>
      <w:r>
        <w:rPr>
          <w:b w:val="0"/>
        </w:rPr>
        <w:t xml:space="preserve"> och barn pension. Kungl. Maj:t har ju utgått från enbart barnpension, men jag anser att en </w:t>
      </w:r>
      <w:r>
        <w:rPr>
          <w:b/>
        </w:rPr>
        <w:t>änka²</w:t>
      </w:r>
      <w:r>
        <w:rPr>
          <w:b w:val="0"/>
        </w:rPr>
        <w:t xml:space="preserve">, om vilken det icke på något sätt bevisats att </w:t>
      </w:r>
      <w:r>
        <w:rPr>
          <w:b/>
        </w:rPr>
        <w:t>hon²</w:t>
      </w:r>
      <w:r>
        <w:rPr>
          <w:b w:val="0"/>
        </w:rPr>
        <w:t xml:space="preserve"> har någon som helst avlönad sysselsättning eller därpå kan försörja sig och som har tre barn att draga försorg om också bör tillerkännas pension, ty barnpensionen går ju bort i och med att barnen fylla 18 år och rätt som det är står </w:t>
      </w:r>
      <w:r>
        <w:rPr>
          <w:b/>
        </w:rPr>
        <w:t>hon²</w:t>
      </w:r>
      <w:r>
        <w:rPr>
          <w:b w:val="0"/>
        </w:rPr>
        <w:t xml:space="preserve">, om vi bara skulle bevilja barnpension, utan pension när </w:t>
      </w:r>
      <w:r>
        <w:rPr>
          <w:b/>
        </w:rPr>
        <w:t>hon²</w:t>
      </w:r>
      <w:r>
        <w:rPr>
          <w:b w:val="0"/>
        </w:rPr>
        <w:t xml:space="preserve"> blir äldre.</w:t>
        <w:br/>
        <w:br/>
        <w:t>Såsom läget var i utskottet har jag gått med på den omnämnda reservationen och jag ber för min del, herr talman, att få yrka att den reservation, som herr Johansson i Östersund m. fl. fogat till utskottets utlåtande, måtte bliva antagen av andra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