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1896</w:t>
      </w:r>
    </w:p>
    <w:p>
      <w:r>
        <w:rPr>
          <w:b/>
        </w:rPr>
        <w:t xml:space="preserve">Datum: </w:t>
      </w:r>
      <w:r>
        <w:t>1931-04-22</w:t>
      </w:r>
    </w:p>
    <w:p>
      <w:r>
        <w:rPr>
          <w:b/>
        </w:rPr>
        <w:t xml:space="preserve">Kammare: </w:t>
      </w:r>
      <w:r>
        <w:t>Andra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Claes Lindskog (–, man)</w:t>
      </w:r>
    </w:p>
    <w:p>
      <w:r>
        <w:rPr>
          <w:b w:val="0"/>
        </w:rPr>
        <w:t xml:space="preserve">Herr talman! Jag ber att få föreslå att, i likhet med vad som skett i 1 första kammaren, kammaren ville besluta, att idocenten vid universitetet i Uppsala Adolf Fredrik Söderströms </w:t>
      </w:r>
      <w:r>
        <w:rPr>
          <w:b/>
        </w:rPr>
        <w:t>änka²</w:t>
      </w:r>
      <w:r>
        <w:rPr>
          <w:b w:val="0"/>
        </w:rPr>
        <w:t xml:space="preserve"> Margit Sö-</w:t>
        <w:br/>
        <w:br/>
        <w:t xml:space="preserve">derström, född Elg, och makarnas tre minderåriga barn Gustaf Fredrik, Johan Axel och Nils Adolf måtte från den 1 oktober 1930 å allmänna indragningsstaten uppbära, </w:t>
      </w:r>
      <w:r>
        <w:rPr>
          <w:b/>
        </w:rPr>
        <w:t>änkan²</w:t>
      </w:r>
      <w:r>
        <w:rPr>
          <w:b w:val="0"/>
        </w:rPr>
        <w:t xml:space="preserve"> en årlig pension av 600 kronor under sin återstående livstid, så länge </w:t>
      </w:r>
      <w:r>
        <w:rPr>
          <w:b/>
        </w:rPr>
        <w:t>hon²</w:t>
      </w:r>
      <w:r>
        <w:rPr>
          <w:b w:val="0"/>
        </w:rPr>
        <w:t xml:space="preserve"> förbliver </w:t>
      </w:r>
      <w:r>
        <w:rPr>
          <w:b/>
        </w:rPr>
        <w:t>änka²</w:t>
      </w:r>
      <w:r>
        <w:rPr>
          <w:b w:val="0"/>
        </w:rPr>
        <w:t>, samt vart och ett av de minderåriga barnen ett årligt uppfostringsbidrag å 384 kronor till och med utgången av det kalenderår, under vilket barnet uppnår 18 års ålder.</w:t>
        <w:br/>
        <w:br/>
        <w:t>Jag anser, att detta är en konsekvens av det föregående beslutet.</w:t>
      </w:r>
    </w:p>
    <w:p>
      <w:pPr>
        <w:pStyle w:val="Heading2"/>
      </w:pPr>
      <w:r>
        <w:t>2. Arthur Thomson (Socialdemokraterna, man)</w:t>
      </w:r>
    </w:p>
    <w:p>
      <w:r>
        <w:rPr>
          <w:b w:val="0"/>
        </w:rPr>
        <w:t xml:space="preserve">Herr talman! Den motion, jag väckt i denna fråga, avser att bereda </w:t>
      </w:r>
      <w:r>
        <w:rPr>
          <w:b/>
        </w:rPr>
        <w:t>änkan²</w:t>
      </w:r>
      <w:r>
        <w:rPr>
          <w:b w:val="0"/>
        </w:rPr>
        <w:t xml:space="preserve"> och barnen efter docenten Söderström samma förmåner, som avses i den motion, som herr andre vice talmannen jämte åtskilliga andra ledamöter av denna kammare, däribland även jag, väckt beträffande docenten Sköld. Det gäller här inte blott visst belopp i pension åt </w:t>
      </w:r>
      <w:r>
        <w:rPr>
          <w:b/>
        </w:rPr>
        <w:t>änkan²</w:t>
      </w:r>
      <w:r>
        <w:rPr>
          <w:b w:val="0"/>
        </w:rPr>
        <w:t xml:space="preserve"> och vissa belopp i understöd åt barnen utan också tiden, från vilken dessa belopp skola utgå. Kungl. Maj:t, som utskottet följt, har nämligen här föreslagit, att i detta fall pensionen skall utgå från och med månaden efter det ansökan inkommit, men såväl i fallet Sköld som åtminstone i ett fall till i detta utlåtande har Kungl. Maj:t föreslagit och riksdagen beviljat, att understöd skall utgå från och med månaden efter det fadern till barnen avlidit. Detta förefaller mig ganska egendomligt, och jag har icke kunnat förstå, vilka skäl Kungl. Maj:t haft för att i detta fall föreslå, att understöd skall utgå månaden efter det ansökan inkommit men i andra fall månaden efter det fadern avlidit. Jag har i min motion påpekat det förhållandet. Utskottet har icke sagt ett ord om den saken. Jag vet nu inte, om det beror därpå, att utskottet ansett sig icke böra säga någonting därom, därför att saken var sjuk, eller därpå, att utskottet icke observerat saken.</w:t>
        <w:br/>
        <w:br/>
        <w:t>Såsom frågan nu emellertid ligger till anser jag det hopplöst att söka få en ändring på denna punkt. Det sorgliga är emellertid, att när första kammaren i lördags fattade beslut, hade av misstag den som väckt förslaget, herr Trygger, råkat skriva av alltsammans som rör docenten Sköld. På det sättet har från fallet Sköld också tagits den tidpunkt, från vilken understöd skulle utgå. Första kammaren har alltså råkat besluta, att pension och understöd i detta fall skola utgå en månad senare än Kungl. Maj:t föreslagit, alltså från den 1 oktober 1930 i stället för, som Kungl. Maj:t föreslagit och utskottet sagt, den i september 1930. Jag hade i min motion yrkat på tidpunkten den 1 november 1929. Första kammarens beslut i detta avseende är naturligtvis ett misstag, kan inte vara annat än ett rent misstag, tillkommet i hastigheten.</w:t>
        <w:br/>
        <w:br/>
        <w:t>Tyvärr är väl denna sak nu obotlig. För att överhuvud taget nå något resultat, i den riktning, jag föreslagit i min motion, anser jag mig nödsakad yrka bifall till det förslag, som. redan antagits i första kammaren. Jag beklagar detta men förstår, att det nu ej finns någon annan möjlighet. Jag hemställer alltså, att andra kammaren måtte biträda det beslut första kammaren redan fattat. Jag yrkar med andra ord bifall till det förslag, som här framställts av herr Lindskog.</w:t>
      </w:r>
    </w:p>
    <w:p>
      <w:pPr>
        <w:pStyle w:val="Heading2"/>
      </w:pPr>
      <w:r>
        <w:t>3. Carl Loven (Socialdemokraterna, man)</w:t>
      </w:r>
    </w:p>
    <w:p>
      <w:r>
        <w:rPr>
          <w:b w:val="0"/>
        </w:rPr>
        <w:t>Herr talman! Jag yrkar bifall till den av mig vid utlåtandet i denna punkt fogade reservationen.</w:t>
      </w:r>
    </w:p>
    <w:p>
      <w:pPr>
        <w:pStyle w:val="Heading2"/>
      </w:pPr>
      <w:r>
        <w:t>4. Helge Bäcklund (Socialdemokraterna, man)</w:t>
      </w:r>
    </w:p>
    <w:p>
      <w:r>
        <w:rPr>
          <w:b w:val="0"/>
        </w:rPr>
        <w:t xml:space="preserve">Herr talman! Därför att vi nu beviljat pension åt docenten Skölds </w:t>
      </w:r>
      <w:r>
        <w:rPr>
          <w:b/>
        </w:rPr>
        <w:t>änka²</w:t>
      </w:r>
      <w:r>
        <w:rPr>
          <w:b w:val="0"/>
        </w:rPr>
        <w:t xml:space="preserve"> och barn, är det inte givet, att vi behöva gå samma väg, när det gäller docenten Söderströms efterlämnade </w:t>
      </w:r>
      <w:r>
        <w:rPr>
          <w:b/>
        </w:rPr>
        <w:t>änka²</w:t>
      </w:r>
      <w:r>
        <w:rPr>
          <w:b w:val="0"/>
        </w:rPr>
        <w:t xml:space="preserve">. Det är en viss skillnad mellan dessa båda fall. Jag var reservant för att </w:t>
      </w:r>
      <w:r>
        <w:rPr>
          <w:b/>
        </w:rPr>
        <w:t>änkan²</w:t>
      </w:r>
      <w:r>
        <w:rPr>
          <w:b w:val="0"/>
        </w:rPr>
        <w:t xml:space="preserve"> Sköld skulle få pen-</w:t>
        <w:br/>
        <w:br/>
        <w:t>sion plus pupillpension, men i förevarande fall kan jag icke sträcka mig så långt. Här bör nämligen företagas en skälighetsprövning. Jag anser inte, att dessa båda fall äro analoga, och vid skälighetsprövning har jag kommit till den uppfattningen, att bankoutskottets förslag borde bifallas av riksdagen.</w:t>
        <w:br/>
        <w:br/>
        <w:t xml:space="preserve">När det gällde Skölds </w:t>
      </w:r>
      <w:r>
        <w:rPr>
          <w:b/>
        </w:rPr>
        <w:t>änka²</w:t>
      </w:r>
      <w:r>
        <w:rPr>
          <w:b w:val="0"/>
        </w:rPr>
        <w:t xml:space="preserve"> hade det icke gjorts gällande vare sig i proposition eller motion, att denna </w:t>
      </w:r>
      <w:r>
        <w:rPr>
          <w:b/>
        </w:rPr>
        <w:t>änka²</w:t>
      </w:r>
      <w:r>
        <w:rPr>
          <w:b w:val="0"/>
        </w:rPr>
        <w:t xml:space="preserve"> på grund av anställning eller eljest hade några utkomstmöjligheter. I fråga om Söderströms </w:t>
      </w:r>
      <w:r>
        <w:rPr>
          <w:b/>
        </w:rPr>
        <w:t>änka²</w:t>
      </w:r>
      <w:r>
        <w:rPr>
          <w:b w:val="0"/>
        </w:rPr>
        <w:t xml:space="preserve"> har ådagalagts, att </w:t>
      </w:r>
      <w:r>
        <w:rPr>
          <w:b/>
        </w:rPr>
        <w:t>hon²</w:t>
      </w:r>
      <w:r>
        <w:rPr>
          <w:b w:val="0"/>
        </w:rPr>
        <w:t xml:space="preserve"> är ganska ung, född år 1894, att </w:t>
      </w:r>
      <w:r>
        <w:rPr>
          <w:b/>
        </w:rPr>
        <w:t>hon²</w:t>
      </w:r>
      <w:r>
        <w:rPr>
          <w:b w:val="0"/>
        </w:rPr>
        <w:t xml:space="preserve"> avlagt filosofie magisterexamen, och att </w:t>
      </w:r>
      <w:r>
        <w:rPr>
          <w:b/>
        </w:rPr>
        <w:t>hon²</w:t>
      </w:r>
      <w:r>
        <w:rPr>
          <w:b w:val="0"/>
        </w:rPr>
        <w:t xml:space="preserve"> för närvarande genomgår provårskurs vid Uppsala högre allmänna läroverk. Det betyder ju, att </w:t>
      </w:r>
      <w:r>
        <w:rPr>
          <w:b/>
        </w:rPr>
        <w:t>hon²</w:t>
      </w:r>
      <w:r>
        <w:rPr>
          <w:b w:val="0"/>
        </w:rPr>
        <w:t xml:space="preserve"> i alla fall får möjligheter att försörja sig. Något sådant var icke anfört, när det gällde </w:t>
      </w:r>
      <w:r>
        <w:rPr>
          <w:b/>
        </w:rPr>
        <w:t>änkan²</w:t>
      </w:r>
      <w:r>
        <w:rPr>
          <w:b w:val="0"/>
        </w:rPr>
        <w:t xml:space="preserve"> Sköld. Om vi vidare taga fasta på vad herr statsrådet och chefen för finansdepartementet anförde, när det gällde </w:t>
      </w:r>
      <w:r>
        <w:rPr>
          <w:b/>
        </w:rPr>
        <w:t>änkan²</w:t>
      </w:r>
      <w:r>
        <w:rPr>
          <w:b w:val="0"/>
        </w:rPr>
        <w:t xml:space="preserve"> Cronström, som icke fick pension, utan i vilket fall det endast blev uppfostringsbidrag åt barnen, så tror jag, att det är riktigt att nu följa utskottet. Jag tror verkligen inte att, därför att det här råkar gälla docentänkor, man skulle låta bli att liksom i andra fall ur skälighetssynpunkt pröva vad som är riktigt. Vi ha ju i många fall företagit sådan prövning. Speciellt när det gäller arbetaränkor fordras, först och främst att mannen skall ha verkat lång tid i statens tjänst; för det andra skall </w:t>
      </w:r>
      <w:r>
        <w:rPr>
          <w:b/>
        </w:rPr>
        <w:t>änkan²</w:t>
      </w:r>
      <w:r>
        <w:rPr>
          <w:b w:val="0"/>
        </w:rPr>
        <w:t xml:space="preserve"> vara medellös, och för det tredje fordras, att </w:t>
      </w:r>
      <w:r>
        <w:rPr>
          <w:b/>
        </w:rPr>
        <w:t>änkan²</w:t>
      </w:r>
      <w:r>
        <w:rPr>
          <w:b w:val="0"/>
        </w:rPr>
        <w:t xml:space="preserve"> skall vara sjuklig, för att </w:t>
      </w:r>
      <w:r>
        <w:rPr>
          <w:b/>
        </w:rPr>
        <w:t>hon²</w:t>
      </w:r>
      <w:r>
        <w:rPr>
          <w:b w:val="0"/>
        </w:rPr>
        <w:t xml:space="preserve"> överhuvud taget skall få pension. Nu är det visserligen Kungl. Maj:t, som bestämmer i dessa fall, men prövningen tillgår nu på enahanda sätt, som när riksdagen själv företog den i fråga om sådana änkor. Jag anser inte, att man i detta fall kan gå ifrån dessa principer, därför att det gäller </w:t>
      </w:r>
      <w:r>
        <w:rPr>
          <w:b/>
        </w:rPr>
        <w:t>änkan²</w:t>
      </w:r>
      <w:r>
        <w:rPr>
          <w:b w:val="0"/>
        </w:rPr>
        <w:t xml:space="preserve"> efter en docent och därför att en annan docentänka här nyss blivit tillgodosedd med pension.</w:t>
        <w:br/>
        <w:br/>
        <w:t>Jag hemställer, herr talman, om bifall till utskottets förslag.</w:t>
      </w:r>
    </w:p>
    <w:p>
      <w:pPr>
        <w:pStyle w:val="Heading2"/>
      </w:pPr>
      <w:r>
        <w:t>5. Nils Winkler (–, man)</w:t>
      </w:r>
    </w:p>
    <w:p>
      <w:r>
        <w:rPr>
          <w:b w:val="0"/>
        </w:rPr>
        <w:t xml:space="preserve">Herr talman! Det var ett underligt resonemang av en bankoutskottsledamot. Också jag är för bifall till utskottets hemställan. Men jag kommer att i detta fall nedlägga min röst, därför att jag hör till dem, som voro av annan mening än reservanterna i den föregående frågan. Nu säger herr Bäcklund, att denna </w:t>
      </w:r>
      <w:r>
        <w:rPr>
          <w:b/>
        </w:rPr>
        <w:t>änka²</w:t>
      </w:r>
      <w:r>
        <w:rPr>
          <w:b w:val="0"/>
        </w:rPr>
        <w:t xml:space="preserve"> är så ung. Ja, </w:t>
      </w:r>
      <w:r>
        <w:rPr>
          <w:b/>
        </w:rPr>
        <w:t>hon²</w:t>
      </w:r>
      <w:r>
        <w:rPr>
          <w:b w:val="0"/>
        </w:rPr>
        <w:t xml:space="preserve"> är 37 år, under det att </w:t>
      </w:r>
      <w:r>
        <w:rPr>
          <w:b/>
        </w:rPr>
        <w:t>änkan²</w:t>
      </w:r>
      <w:r>
        <w:rPr>
          <w:b w:val="0"/>
        </w:rPr>
        <w:t xml:space="preserve"> Sköld är 38 år gammal. Jag har icke hört någon här i kammaren föreslå, att åldersgränsen skall sättas just vid 38 år. Det som gäller för en </w:t>
      </w:r>
      <w:r>
        <w:rPr>
          <w:b/>
        </w:rPr>
        <w:t>änka²</w:t>
      </w:r>
      <w:r>
        <w:rPr>
          <w:b w:val="0"/>
        </w:rPr>
        <w:t xml:space="preserve">, som är 38 år gammal, bör väl också gälla för en, som är 37 år. Vidare säger herr Bäcklund, att vi bruka följa den principen, att sjuklighet är ett villkor för erhållande av pension. Ja, det var just vad jag nyss sade, att vi böra strikt fasthålla vid de principer, som äro omtalade på sidan 15 i utskottets utlåtande. Men jag anser, att alla, som röstat för pension åt Skölds </w:t>
      </w:r>
      <w:r>
        <w:rPr>
          <w:b/>
        </w:rPr>
        <w:t>änka²</w:t>
      </w:r>
      <w:r>
        <w:rPr>
          <w:b w:val="0"/>
        </w:rPr>
        <w:t xml:space="preserve">, ha absolut skyldighet att rösta för pension även åt denna </w:t>
      </w:r>
      <w:r>
        <w:rPr>
          <w:b/>
        </w:rPr>
        <w:t>änka²</w:t>
      </w:r>
      <w:r>
        <w:rPr>
          <w:b w:val="0"/>
        </w:rPr>
        <w:t xml:space="preserve">, såvida de inte vilja handla uppenbart orättvist. Nu menar herr Bäcklund, att denna </w:t>
      </w:r>
      <w:r>
        <w:rPr>
          <w:b/>
        </w:rPr>
        <w:t>änka²</w:t>
      </w:r>
      <w:r>
        <w:rPr>
          <w:b w:val="0"/>
        </w:rPr>
        <w:t xml:space="preserve"> har sådana kunskaper, att </w:t>
      </w:r>
      <w:r>
        <w:rPr>
          <w:b/>
        </w:rPr>
        <w:t>hon²</w:t>
      </w:r>
      <w:r>
        <w:rPr>
          <w:b w:val="0"/>
        </w:rPr>
        <w:t xml:space="preserve"> kan få en befattning. Men vad vet herr Bäcklund om vad </w:t>
      </w:r>
      <w:r>
        <w:rPr>
          <w:b/>
        </w:rPr>
        <w:t>änkan²</w:t>
      </w:r>
      <w:r>
        <w:rPr>
          <w:b w:val="0"/>
        </w:rPr>
        <w:t xml:space="preserve"> Sköld håller på med. Detta sätt att argumentera är allt annat än övertygande. Vid studiet av handlingarna angående dessa båda docentänkor är det ingen enda inom utskottet som velat göra gällande, att de icke skola vara fullt jämställda. Jag har bara upplysningsvis velat nämna detta. Jag yrkar emellertid bifall till bankoutskottets hemställan.</w:t>
      </w:r>
    </w:p>
    <w:p>
      <w:pPr>
        <w:pStyle w:val="Heading2"/>
      </w:pPr>
      <w:r>
        <w:t>6. Helge Bäcklund (Socialdemokraterna, man)</w:t>
      </w:r>
    </w:p>
    <w:p>
      <w:r>
        <w:rPr>
          <w:b w:val="0"/>
        </w:rPr>
        <w:t xml:space="preserve">Det yttrande, som bankoutskottets ärade vice ordförande herr Winkler nu hade, leder i sak därtill, att riksdagen, därför att den, enligt hans mening, begått en dumhet på en punkt, bör begå en till. Jag tror, att jag angav tillräckligt starka skäl för min förmodan, att </w:t>
      </w:r>
      <w:r>
        <w:rPr>
          <w:b/>
        </w:rPr>
        <w:t>änkan²</w:t>
      </w:r>
      <w:r>
        <w:rPr>
          <w:b w:val="0"/>
        </w:rPr>
        <w:t xml:space="preserve"> i detta fall</w:t>
        <w:br/>
        <w:br/>
        <w:t xml:space="preserve">bör ha möjlighet att klara försörjningsfrågan, i det att </w:t>
      </w:r>
      <w:r>
        <w:rPr>
          <w:b/>
        </w:rPr>
        <w:t>hon²</w:t>
      </w:r>
      <w:r>
        <w:rPr>
          <w:b w:val="0"/>
        </w:rPr>
        <w:t xml:space="preserve"> ju för närvarande genomgår provårskurs vid Uppsala högre allmänna läroverk. Däremot fanns det inte ett ord om att </w:t>
      </w:r>
      <w:r>
        <w:rPr>
          <w:b/>
        </w:rPr>
        <w:t>änkan²</w:t>
      </w:r>
      <w:r>
        <w:rPr>
          <w:b w:val="0"/>
        </w:rPr>
        <w:t xml:space="preserve"> Sköld hade någon möjlighet att försörja sig och sina barn eller att få någon anställning. Jag menar därför, att det bör företagas en skälighetsprövning även i fall sådana som dessa. Och gör man det, så kan man icke ställa dessa båda pensionsfrågor på samma plan. Jag yrkar alltså fortfarande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1896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