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679</w:t>
      </w:r>
    </w:p>
    <w:p>
      <w:r>
        <w:rPr>
          <w:b/>
        </w:rPr>
        <w:t xml:space="preserve">Datum: </w:t>
      </w:r>
      <w:r>
        <w:t>1931-05-21</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William Linder (Socialdemokraterna, man)</w:t>
      </w:r>
    </w:p>
    <w:p>
      <w:r>
        <w:rPr>
          <w:b w:val="0"/>
        </w:rPr>
        <w:t>Herr talman! Som herrarna sett säger utskottet i avseende på denna punkt: »Vägande anmärkningar kunna framställas mot den nu brukliga arbetsfördelningen mellan häradshövdingen och hans rättsbildade biträden, och tydligt torde vara, att på detta område en ändring bör ske.» Jag kan emellertid icke finna annat än att det beträffande utskottsutlåtandet på denna punkt råder en viss oklarhet. Herr statsrådet utgår från att i alla mål, där bevisningen är av någon större betydelse, skall det finnas en domare, som är</w:t>
        <w:br/>
        <w:br/>
        <w:t>vuxen sin uppgift, och herr statsrådet tillägger ytterligare, att det är mindre tilltalande att mera allmänt överlämna handläggningen av de med hänsyn till föremålets värde eller ur andra synpunkter mindre viktiga målen till en domare, som har mindre erfarenhet och kvalifikationer. — Jag kan inte finna annat än att detta är en mycket riktig synpunkt, därför att herr statsrådet härmed vill ha sagt, att även de människors mål, som inte kunna anses vara till det yttre så värst stora, i alla fall böra handläggas av en domare, som är kvalificerad. — När herr statsrådet emellertid fortsätter, så talar han om, att vissa enklare mål, vissa enklare kravmål och vissa brottmål, kunna bedömas av en yngre domare. Jag frågar mig då: vad är meningen med detta? — Nu är det ju så, att enligt förslaget skall det finnas en sekreterare i domsagorna, som skall ha en mera fast anställning. Angående denne sekreterare är det sagt, att han skall ha på sin lott uppgifter, som inte äro så värst obetydliga. Han skall handha kansliarbetet överhuvud taget, han skall ha expeditionsgöromålen, han skall ha alla inskrivningsärenden, och han skall tillika, dock endast vid semesterledighet eller kortare ledigheter — alltså vid ett kortvarigt förfall — kunna upprätthålla häradshövdingens ämbete.</w:t>
        <w:br/>
        <w:br/>
        <w:t>Jag menar, att man här är inne på en väg, om vilken jag ifrågasätter, om den inte är ganska olämplig. Den leder i verkligheten till precis detsamma, som man har velat undvika, nämligen den nu rådande fördelningen. Man kommer här in på frågan om vad man har kallat för första, andra och tredje klassens mål, med motsvarande första, andra och tredje klassens domare. Det blir resultatet av den uppdelning, som man här skall försöka sig på att inaugurera. Jag kan inte finna annat än att detta är en ganska olycklig väg. Det finns ett gammalt ordspråk, som säger, att små sår och fattiga vänner skall man inte förakta. Beträffande de enkla målen kan man ganska ofta taga miste i fråga om huruvida de verkligen äro så enkla. Jag kan inte annat än frestas att anföra ett exempel på hur man kan taga fel, när det gäller frågan om enkla mål.</w:t>
        <w:br/>
        <w:br/>
        <w:t>Jag har förut i går talat om den proposition, varigenom processkommissionen tillsattes vid 1911 års riksdag. Vid det tillfället höll den dåvarande justitieministern ett anförande, som i denna sak verkligen kan vara ganska expressivt. Han sade då i propositionen bl. a.: »Ävenledes må här erinras, att behovet utav en särskild ordning för handläggande och avdömande av s. k. bagatellmål under senaste tid trätt i dagen vid behandlingen av de med lagstiftningen om arbetsavtal sammanhängande frågor. Tvister om arbetsavtal mellan arbetsgivare och enskilda arbetare skulle lämpa sig för upptagande vid bagatelldomstolar, men att nu utan sammanhang med ombildning av rättegångsväsendet i övrigt inrätta sådana domstolar speciellt för nämnda slag av mål lärer ej kunna ifrågasättas.» I det följande talar han om, att vid en processreform är det mycket lämpligt att inrätta sådana här allmänna bagatelldomstolar, där man då skulle kunna handlägga tvister emellan arbetsgivare och arbetare. — Jag menar, att utvecklingen väl ändå på denna punkt har tagit en vändning i fråga om vad man betraktade som bagatellmål, som är ganska överraskande. Numera anses väl frågan om avtal emellan arbetare och arbetsgivare som en viktig sak. För dem har man berett en utväg, som tillhör det mest extrordinära. Numera sitter det en särskild arbetsdomstol, och det behövs t. o. m. ett justitieråd som ordförande däri, för att den skall få tillräcklig pondus.</w:t>
        <w:br/>
        <w:br/>
        <w:t>Jag menar alltså, att man får vara försiktig, när man skall dela upp dessa mål i vad man kallar viktiga och mindre viktiga mål, större och enklare mål. En sådan sak kommer enligt min uppfattning, om man vill handla i allo rättrådigt, otvivelaktigt att leda till, att domarnas antal måste ökas, och det kommer alldeles inte att räcka med någon sorts sekunda eller tredje klassens</w:t>
        <w:br/>
        <w:br/>
        <w:t xml:space="preserve">domare. Det kommer att överhuvud taget erfordras kvalificerade domare, när Ang. man skall genomföra processreformen. avbetsfördel- Jag har inte något yrkande i detta avseende, men jag har velat framhålla” höradshöv. dessa synpunkter och fästa dem till protokollet, för att de måtte bringas i dingen och erinran vid det tillfälle, när en gång lagtexten skall författas. hans biträden. (Forts.) Herr Lindhagen: Jag kan till det väsentliga instämma i herr Linders kritik över det karriärsystem, som här lätt införes för att skapa särskilt skickliga experter till att leda huvudförhandlingar. Om de senare har jag på grund av egen erfarenhet redan tillåtit mig att yttra, att de äro mera ansträngande för kroppen än för själsförmögenheterna. Jag återkommer till detta än en gång, när vi komma till frågan om domarnas utbildning och utnämning. Under denna punkt ha vi en rubrik, som lyder »Arbetsfördelning mellan häradshövdingen och hans biträden». Läser man närmare, finner man, att med biträden menas endast juridiska biträden. Detta har föranlett mig att nu liksom vid andra tillfällen erinra om det tillstånd, som jag anser vara oefterrättligt, nämligen att de </w:t>
      </w:r>
      <w:r>
        <w:rPr>
          <w:b/>
        </w:rPr>
        <w:t>kvinnliga¹</w:t>
      </w:r>
      <w:r>
        <w:rPr>
          <w:b w:val="0"/>
        </w:rPr>
        <w:t xml:space="preserve"> skrivbiträdena vid domsagorna fortfarande hållas utanför all rättsordning, under det att skrivbiträdena vid andra domstolar fått fast anställning med förmåner, som ställa dem i en likvärdig ställning med övriga ordinarie befattningshavare vid domstolarna. Jag har därför tillåtit mig yrka på ett uttalande från riksdagen, att skrivbiträdena vid domsagornas kanslier lika väl som de rättsbildade biträdena måtte erhålla fast anställning. Därigenom behöver ej domstolen, som skall främja rättssäkerheten, framträda i en oundgänglig funktion såsom uppbyggd på dess frånvaro. Jag yrkar således nu på ett uttalande om, att skrivbiträdena vid domsagornas kanslier likaväl som de rättsbildade biträdena måtte erhålla fast anställning.</w:t>
      </w:r>
    </w:p>
    <w:p>
      <w:pPr>
        <w:pStyle w:val="Heading2"/>
      </w:pPr>
      <w:r>
        <w:t>2. Georg Bissmark (Första kammarens nationella parti, man)</w:t>
      </w:r>
    </w:p>
    <w:p>
      <w:r>
        <w:rPr>
          <w:b w:val="0"/>
        </w:rPr>
        <w:t>Då utskottet icke ansett sig böra biträda herr Lindhagens yrkande, har det skett bl. a. på den grund, att utskottet ansett, att frågan icke sammanhänger med huvudgrunderna för vårt rättegångsväsende, och jag hemställer verkligen till herr Lindhagen, om det är klokt att kombinera en sådan fråga med den stora rättegångsreformen. Är det inte då bättre att taga upp den i en särskild motion? Detta anser jag för min del vara en fråga, som kan vinna partiell lösning, utan att man avvaktar hela den stora reformens ikraftträdande.</w:t>
        <w:br/>
        <w:br/>
        <w:t>Jag ber att få yrka bifall till utskottets hemställan.</w:t>
      </w:r>
    </w:p>
    <w:p>
      <w:pPr>
        <w:pStyle w:val="Heading2"/>
      </w:pPr>
      <w:r>
        <w:t>3. Carl Lindhagen (–, man)</w:t>
      </w:r>
    </w:p>
    <w:p>
      <w:r>
        <w:rPr>
          <w:b w:val="0"/>
        </w:rPr>
        <w:t xml:space="preserve">Det föreligger en avgrund mellan den föregående talarens uppfattning och min uppfattning. Här anser den siste talaren, att de rättsbildade biträdena höra samman med den stora rättegångsreformen, men skrivbiträdena höra inte samman med denna reform, förmodligen för ätt de äro </w:t>
      </w:r>
      <w:r>
        <w:rPr>
          <w:b/>
        </w:rPr>
        <w:t>kvinnor¹</w:t>
      </w:r>
      <w:r>
        <w:rPr>
          <w:b w:val="0"/>
        </w:rPr>
        <w:t xml:space="preserve"> och hållas på lägre lönenivå och, såsom här är fallet, inte få någon fast anställning alls. Det är fråga om olika åskådningar. De förtrycktas rätt hör emellertid samman med en stor rättegångsreform, just för att de äro förtryckta. Kampen mot förtrycket är något, som mer än annat skall göra sig gällande, när man vill reformera rättegången till det bättre.</w:t>
      </w:r>
    </w:p>
    <w:p>
      <w:pPr>
        <w:pStyle w:val="Heading2"/>
      </w:pPr>
      <w:r>
        <w:t>4. Georg Bissmark (Första kammarens nationella parti, man)</w:t>
      </w:r>
    </w:p>
    <w:p>
      <w:r>
        <w:rPr>
          <w:b w:val="0"/>
        </w:rPr>
        <w:t xml:space="preserve">Jag vill bara säga, att herr Lindhagens anmärkning svävar fullkomligt i luften. Det är ju dock inte meningen, att dessa </w:t>
      </w:r>
      <w:r>
        <w:rPr>
          <w:b/>
        </w:rPr>
        <w:t>kvinnliga¹</w:t>
      </w:r>
      <w:r>
        <w:rPr>
          <w:b w:val="0"/>
        </w:rPr>
        <w:t xml:space="preserve"> biträden skola bli domare, under det att med rättegångsreformen sammanhänger, hur målen skola avgöras, hur domare skola utbildas, o. s. v. Därför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