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1921</w:t>
      </w:r>
    </w:p>
    <w:p>
      <w:r>
        <w:rPr>
          <w:b/>
        </w:rPr>
        <w:t xml:space="preserve">Datum: </w:t>
      </w:r>
      <w:r>
        <w:t>1932-02-13</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Arthur Engberg (Socialdemokraterna, man)</w:t>
      </w:r>
    </w:p>
    <w:p>
      <w:r>
        <w:rPr>
          <w:b w:val="0"/>
        </w:rPr>
        <w:t>Herr talman! Såsom kammarens ledamöter redan torde ha funnit, äro vid utlåtandet fogade reservationer, som förete, åtminstone vad det gäller två av dem, fundamentalt olika åskådningar och utgå från fundamentalt olika förutsättningar. En reservant, från bondeförbundet, håller före, att den bestämmelse, som vi ha i regeringsformens 1 $ och som lyder: »Sverige skall styras av en konung och vara ett arvsrike med den arvsföljd som i successionsordningen stadgas», till skillnad från grundlagens övriga paragrafer står utanför den allmänna regeln, att de kunna ändras i den ordning, grundlagen föreskriver. Den ärade reservanten menar, att den enda väg, varpå denna paragraf till sin innebörd kan ändras och Sverige övergå från att vara en ärftlig monarki till att bli en republik med vald president, är revolutionens väg. Man menar sålunda från bondeförbundets sida, att medan alla andra paragrafer i våra grundlagar kunna ändras eller upphävas i den ordning, grundlagen stadgar, har icke någon mänsklig utan tydligen någon överjordisk makt fogat så, att $ 1 med dess grundläggande bestämmelse faller utanför denna allmänna regel. För min del — och jag är övertygad för mångas del — kan Jag deklarera, att en sådan grundlagstolkning är orimlig. Ty lika väl som de paragrafer, som gälla riksdagen, dess sammansättning, tvåkammarsystemet 0. sS. v. kunna ändras i den ordning, grundlagen föreskriver, likaväl kan och måste också denna $ 1 i regeringsformen kunna ändras i samma ordning.</w:t>
        <w:br/>
        <w:br/>
        <w:t>Vi socialdemokrater ha i vårt program inskrivit kravet på republik. Vi ha icke haft någon som helst anledning att frånträda detta krav. Det är enligt vårt partis övertygelse oundvikligt, att författningsutvecklingen, i den mån den skall ge ett konsekvent uttryck åt demokratien, genombryter, spränger och för åt sidan den orimliga och antikverade bestämmelsen, att statschefens äm-</w:t>
        <w:br/>
        <w:br/>
        <w:t>bete skall gå i arv. Vi hava därför också i vår reservation framhållit, att bärande skäl finnas för att till utredning ta upp problemet om författningens anpassning efter den demokratiska utvecklingens krav i detta avseende. Ju förr en sådan utredning kommer till stånd, desto bättre. Vi se saken på det sättet, att i en sådan utredning ingå två led. Det tarvas först och främst en rent saklig utredning av problemet, alltså en utredning, som under jämförelse med statschefernas ställning i vissa främmande länder med ett republikanskt statsskick klarlägger, vilka ändringar i våra grundlagar, som skulle bli nödvändiga, därest statschefens ämbete i stället för att gå i arv tillsättes genom val. Det är på detta första led i utredningen vi i vår reservation tagit sikte. Men det finns ett andra led, som emellertid lämpligen bör aktualiseras, när själva sakfrågan föreligger utredd. Någon anledning att på nuvarande stadium ifrågasätta något annat och mer än själva sakfrågans utredning ha vi emellertid icke haft. I viss mån föreligger här kanske en naturlig tågordning, snarlik den som vi känna från förbudsfrågans handläggning. Den gången utreddes först hela förbudsspörsmålet och man undersökte, huru Sverige i lagstiftningshänseende skulle se ut, därest ett förbud vore verklighet. Sedan denna sakliga utredning slutförts återstod att undersöka, huruvida och i vad mån ett underlag 1 folkopinionen fanns för förbudskravets genomförande. Enahanda tågordning har synts oss påkallad i republikfrågan. En utredning av själva saken, d. v. s. de för ärftlighetens ersättande med valbarheten erforderliga grundlagsändringarna, är nödvändig såsom ett första led. Såsom ett sista led kommer givetvis opinionsunderlaget för republikkravet att undersökas. Vi förorda sålunda en strängt grundlagsenlig och strängt grundlagstrogen väg vid förfäktandet av vårt krav, i trohet mot den grundsats, som redan Erik Gustaf Geijer uttryckte med orden: »Respekt för gällande lag men öppen rätt att kräva en annan.» Vi förfäkta och begagna oss av vår öppna rätt att kräva andra bestämmelser i våra grundlagar, bestämmelser, som innebära den ärftliga monarkiens ersättande med en republikansk statsform.</w:t>
        <w:br/>
        <w:br/>
        <w:t>Det har nu här invänts från utskottets sida — och det är väl innebörden i de två avslagsraderna — att en fråga sådan som denna saknar varje spår av aktualitet. Man tycker, att det är ingenting annat än ett vädrande av vissa principiella synpunkter, ett motionerande av gamla stelbenta käpphästar, vad vi socialdemokrater företa oss i denna fråga. Jag vågar, herr talman, på det hestämdaste bestrida, att så är fallet, och jag hänvisar till den verklighet, som vi ha runt omkring oss.</w:t>
        <w:br/>
        <w:br/>
        <w:t>När 1800-talet gick ut och det nya seklet började, syntes den monarkiska statsformen ha en ovanlig styrka, utbredning och livskraft. Den stod då i sitt allra högsta flor. Den behärskade helt och hållet Asien, den behärskade Europa med endast två undantag, den franska och den schweiziska republiken. Den behärskade även Afrika. På de amerikanska kontinenterna var den emellertid bortsopad, sedan man i Brasilien, om jag icke minns fel, år 1889 gjort upp med kejsardömet och infört republiken. Den långt övervägande delen av Jordens folk voro monarkistiskt styrda. Vad har, mina herrar, icke sedan dess inträffat? Vilken väldig omgestaltning har icke författningarnas världskarta undergått! Under de tio åren från 1908 till 1918 har det monarkiska systemet praktiskt taget stigit ned i sin grav, framför allt i den form, som vi kände under namn av den absoluta monarkien. Jag behöver blott erinra om själva upptakten. Det var år 1908, då genom den ungturkiska revolutionen Turkiet förvandlades från absolut monarki till konstitutionell monarki. Behöver jag månne erinra om denna upptakts konsekvenser? Behöver jag skildra, huru under åren 1908—1912 Bulgarien lösgjorde sig från det ottomanska oket? Behöver jag nämna, huru Bosnien och Herzegovina annekterades av Habsburg? Behöver jag väl, herr talman, orda om Italiens tripolitanska krig? Det vare</w:t>
        <w:br/>
        <w:br/>
        <w:t>nog sagt, att dessa händelser i sin tur utlöste balkankriget 1912—1913, och hurusom året efter detta förspel världskriget drog upp och med världskriget revolutionerna och hurusom slutligen med revolutionerna jorden förvandlades till monarkiernas kyrkogård? Vem hade väl vid sekelskiftet vågat drömma om att vi år 1917 och 1918 skulle få se den röda fanan svaja över Kreml i Ryssland, över Potsdam i Tyskland och över Schönbrunn i Österrike? Romanowarnas, Hohenzollrarnas och Habsburgarnas troner störtades, och på ruinerna av dessa väldiga militärmonarkier uppbyggdes en rad av republiker. Efter krigets omskiftelser fortsatte storstädningen i Turkiet, som införde republiken. Och i Grekland, ur skuggan av Partenon steg republiken också fram. Ja, varför trötta er, mina herrar, med att uppräkna ännu fler republiker? Redan 1912 hade det väldiga Kina, jordens största nation, avskaffat sitt monarkiska skick och blivit republik. Låt oss dock komma ihåg en enda till! Jag tänker på Spanien, denna gamla katolska, heliga monarki, som mången trott vara konungarnas säkraste fäste i vår världsdel. I maj månad i fjol vigdes den åt förintelsen. Republiken segrade och monarken lever nu i landsflykt. Så se vi i dag på kartan, hurusom republiken gått segrande fram, under det att monarkien ter sig som en stackars kvarleva av någonting, som en gång hade sin storhetstid, men som efter år 1918 icke kan få det mera.</w:t>
        <w:br/>
        <w:br/>
        <w:t>Det har förts många akademiska diskussioner om konungadömets och republikens inbördes företräden. I 150 år kan man säga, att dessa diskussioner förts, och de komma väl fortfarande att föras 1 vissa kretsar. Såvitt jag kan se har erfarenheten redan gett sitt utslag till förmån för den republikanska författningen. Jag erinrar om Lord Bryces monumentalarbete om de moderna demokratierna, enkannerligen det kapitel, däri han väger mot varandra monarkiens och republikens företräden och betonar, att om man går tillbaka 1 historien ända till den tid, då den ärftliga monarkien definitivt satt fast i sadeln -— han nämner 1 detta fall det femtonde århundradet — finner man, säger han, huru de monarker, som verkligen med heder arbetat för sitt folk, varit ytterst sällsynta. Det kanske må vara mig tillåtet att i detta sammanhang jämväl erinra om Rousseau, som visserligen kan synas mången vara dammhöljd och omodern i våra dagar, men som enligt min mening förblir evigt modern. Jag slår upp hans arbete, »Contrat social» — Samhällsfördraget — och hittar däri följande uttalande, som jag ber att få införliva med kammarens protokoll. Han säger: »Om det är svårt att väl styra en stor stat, så är det så mycket svårare att styra den väl genom en enda människa. Var och en vet, vad som händer, när en kung ger sig ställföreträdare. Ett väsentligt och oundvikligt fel, som städse kommer att göra den monarkiska styrelsen underlägsen den republikanska, är, att i den senare lyfter offentlighetens röst nästan aldrig andra till de högsta posterna än upplysta och dugliga män, som bekläda dem med heder, medan de, som lyckas i monarkierna, ofta äro små intrigörer. Folket misstar sig mycket mindre i detta val än furstarna, och en man av verklig förtjänst är nästan lika sällsynt i de kungliga ministärerna som en dumbom i spetsen för en republikansk regering. Och när genom en lycklig slump en av dessa människor, som ha medfödd begåvning att styra, griper statsrodret i en monarki, som av sina snygga förvaltare bragts nära nog till avgrundens rand, så är man alldeles överraskad över de utvägar, han ändå finner, och detta gör epok i ett land. För att en monarkisk stat skulle kunna vara väl styrd skulle det tarvas, att dess storhet och betydelse mättes med de andliga gåvorna hos den, som regerar densamma.» Jag tror, att Rousseaus ord äga full giltighet ännu 1 dag.</w:t>
        <w:br/>
        <w:br/>
        <w:t>Så ett par ord om det som är den springande punkten i vår reservation. Det är ingen av herrarna, som finner det rimligt, att ett lektorat eller ett kyrkovärdskap går i arv eller att generaldirektörskap eller vad ni vill inom ämbets-</w:t>
        <w:br/>
        <w:br/>
        <w:t>mannavärlden går i arv. Hela ert förnuft reser sig mot en sådan anordning. Ni finna det komplett orimligt att åtkomsten av ett ämbete skall vila på släktskap med företrädaren. Ni kräva att ämbetet skall tillsättas enligt grundsatsen om förtjänst och skicklighet. Ja, mina herrar, allt detta gäller tills vi komma lill statens högsta ämbete. Då gör man strax halt. Då kopplar man av det sunda förnuftet, då kapitulerar man utan vidare och hävdar, att detta ämbete skall tillsättas icke genom val utan genom »avel» såsom Lloyd George en gång drastiskt formulerade det. Borde det icke, herr talman, kunna erkännas, att en slik ordning för tillsättning av statens högsta ämbete är komplett oförnuftig i i vår moderna tid, och att det i en demokratisk stat burde på längden vara vanskligt att vidmakthålla en dylik grundsats? Det vare mig fjärran att förneka, att den typ av monarkier, som vi kalla den konstitutionella monarkien, till vilken vi räkna Sverige, England, Danmark, Norge och Holland, det vare mig fjärran att förneka, att i en dylik monarki vår Herre understundom kan foga det så, att en och annan intelligens kommer på tronen. Men jag tror, herr talman, att den italienske historikern Ferrero, som studerat mycket, sett mycket och tänkt mycket, har rätt, när han på basis av sina studier och sin erfarenhet fäller omdömet, att en överlägsen begåvning på en tron är en händelse så sällsynt, att den »inträffar en gång under två eller tre sekler». Goda skäl synas oss socialdemokrater alltså finnas för kravet på, att hela denna ärftlighetsprincip någon gång tages upp till ordentlig granskning. Att fortsätta med att överantvarda tillsättningen av statens högsta ämbete åt slumpen, åt födelseslumpen — något annat är det icke — kan icke vara rimligt.</w:t>
        <w:br/>
        <w:br/>
        <w:t>Vi ha därför från socialdemokratisk sida i konstitutionsutskottet, i full överensstämmelse med vad vi kräva i vårt partiprogram, i samklang med världens gång runt omkring oss och i enlighet med vad sunt förnuft utstakar, krävt en utredning, som tar sikte på att under jämförelse, som jag nämnde, med utländska författningar av republikansk typ, med vår egen gällande författning undersöka, vilka förändringar i våra grundlagar som skulle behövas för att överföra vårt statsskick från ärftlig monarki till republik.</w:t>
        <w:br/>
        <w:br/>
        <w:t xml:space="preserve">Det finns för socialdemokratien rent historiska förutsättningar för att i denna sak tänka och känna på ett annat sätt än vad man gör i den borgerliga världen. Den svenska arbetarrörelsen har historiskt uppvuxit, har historiskt framträtt och utvecklat sig vid sidan om oberoende av och oinfluerad av hela den monarkiska tankevärlden. Den står främmande för den besynnerliga föreställningen, att röstberättigade män och </w:t>
      </w:r>
      <w:r>
        <w:rPr>
          <w:b/>
        </w:rPr>
        <w:t>kvinnor¹</w:t>
      </w:r>
      <w:r>
        <w:rPr>
          <w:b w:val="0"/>
        </w:rPr>
        <w:t xml:space="preserve"> i en stat med allmän och lika rösträtt skulle vara »undersåtar». Den vägrar erkänna undersåtlighetens idé, vägrar försona den med medborgarskapets idé. Atmosfären i de berömda fyra stora veckotidningar, som till omväxling med minutiösa nyheter rörande mer eller mindre kulörta och intressanta morrhoppor från våra scener servera sin läsekrets utförliga interiörer ur de kungligas liv och leverne, är den svenska arbetarvärlden främmande. Sveriges arbetarklass har sannerligen allvarligare uppgifter än att stå och gapa i kö för att uppsrappa en kunglig person eller fördjupa sig i sådana världshändelser som förlovningar, giftermål eller tillökning i den kungliga familjen eller hålla reda på när en prins besökt en utställning, en </w:t>
      </w:r>
      <w:r>
        <w:rPr>
          <w:b/>
        </w:rPr>
        <w:t>prinsessa³</w:t>
      </w:r>
      <w:r>
        <w:rPr>
          <w:b w:val="0"/>
        </w:rPr>
        <w:t xml:space="preserve"> skaffat sig en ny mops 0. s. v. Den svenska arbetarrörelsen står på sidan om hela denna traditionalism. Den har icke varit med om att insupa dess idéer. Den har haft och har sin stora kamp mot kapitalismens makter. Men aldrig har den i denna kamp känt sg ha ens skymten av stöd i den monarkiska institutionen. Det har tvärtom vid mer än ett kritiskt avgörande synts den, som om monarkien mer eller mindre aktivt vore engagerad på andra sidan, på deras sida, vilkas politik går ut på att hålla arbetarrörelsen tillbaka. Hur skulle den då känna några sentimentala strängar vibrera, bara därför att det ifrågasättes alt ändra första paragrafen 1 vår regerings-</w:t>
        <w:br/>
        <w:br/>
        <w:t>form? TI enlighet med hela sin instinkt och sitt i livets skola uppövade verklighetssinne har denna arbetarrörelse sett och ser det sem en självklar angelägenhet, att den ärftlighetsprincip, som vi ha i toppen av statsstyrelsen, ersättes med en annan, med valbarhetens, det fria, demokratiska valets princip. Jag har velat säga detta för att herrarna skola förstå, varför vi på vår kant se dessa ting med andra ögon och bedöma dem på annat sätt än vad man gör på den borgerliga sidan. :</w:t>
        <w:br/>
        <w:br/>
        <w:t>Herr talman! Jag har ingen anledning att nu gå vidare in på detta spörsmål. Jag har här endast i all korthet velat utveckla de synpunkter, som varit för mig och mina partivänner bestämmande och vägledande, när vi avlämnat vår reservation, vilken för övrigt är en ordagrann upprepning av vår reservation från år 1928. Med hänvisning till motiveringen i reservationen och till vad jag här har yttrat, ber jag, herr talman, att få hemställa om bifall till densamma.</w:t>
      </w:r>
    </w:p>
    <w:p>
      <w:pPr>
        <w:pStyle w:val="Heading2"/>
      </w:pPr>
      <w:r>
        <w:t>2. Viktor Herou (Kilbomspartiet, man)</w:t>
      </w:r>
    </w:p>
    <w:p>
      <w:r>
        <w:rPr>
          <w:b w:val="0"/>
        </w:rPr>
        <w:t>Herr talman! Då frågan om införandet av republik år 1912 väcktes av herr Lindhagen, så fick han mottaga en stark bannbulla, som vi minnas, från sitt parti, och man betecknade hans framstöt såsom en mycket löjlig och befängd historia. Nu säger herr Engberg, att socialdemokraterna vilja förverkliga partiets ståndpunkt, att republik skall införas. Man skulle därför vara frestad att tro, att det även på detta håll rör sig framåt en smula. Revolutionerna ha ju givit rörelseriktningen. Trots allt är emellertid herr Engbergs ståndpunkt och därmed det socialdemokratiska partiets ståndpunkt i dag att begrava denna. fråga i utredningar. Vad beträffar en folkomröstning så bör det ju vara alldeles klart framför allt med den skildring, som herr Engberg gav av pressens förmåga att popularisera en sak, att en folkomröstning i en sådan fråga som denna är reaktionen. Det betyder, att man icke vill begagna sin parlamentariska makt, och att man kan vänta, att socialdemokratien i majoritet icke skulle använda sin parlamentariska kraft för att genomföra en förnuftig reform. Vi kunna nog säga, att hur än denna fråga avancerar, så komma de attacker, som vi göra genom väckande av motioner, endast att ge ökad erfarenhet om riktigheten av herr Reuterskiölds sats, att en ändring av statsskicket till republik alltid innebär en revolutionär akt, eller om riktigheten av herr David Bergströms sats, att förändringar 1 statsskicket genomföras gemenligen på andra vägar än de parlamentariska. Jag tycker, att hela herr Engbergs ståndpunktstagande giver belägg för dessa herr Reuterskiölds och herr David Bergströms satser.</w:t>
        <w:br/>
        <w:br/>
        <w:t>Jag vill instämma med dem, som anse att ett ärftligt innehav av en viktig post är en absurditet. Visserligen fanns det en tid och finns fortfarande på många områden fall, då ett yrke har gått i arv från far till son, men aldrig, mina herrar, utan övervägande av lämpligheten därav, utan övervägande av om arvtagaren är lämplig för denna uppgift eller icke. Man skall icke sätta runda pojkar i fyrkantiga hål. En bonde, en hantverkare eller en affärsman, som gärna ser, att hans son blir hans efterträdare, söker bland sina arvtagare ut den lämpligaste för uppgiften. Ingenstädes, när det gäller förtroendeposter och ämbeten, förutsättes eller anses det lämpligt, att posten eller ämbetet skall ärvas av äldste sonen ovillkorligen. Skulle man vilja överlåta sig åt slumpen</w:t>
        <w:br/>
        <w:br/>
        <w:t>genom att låta kommunalfullmäktigeposter, domarämbeten, landshövdingämbeten gå i arvsföljd åt äldste sonen med de risker för olämplighet för dessa poster, som därav skulle bli följden? Skulle man vilja låta kommunalfullmäktige eller riksdagen förnya sig efter denna princip, ja, den som föreslog något sådant, skulle bli utskrattad. Högerns, bondeförbundets och de frisinnades representanter i konstitutionsutskottet skulle aldrig föreslå något sådant. Eller antag att vi hade en regering, en Lindmansregering, en Per Albin Hanssonsregering eller en Ekmansregering, antag att någon av dessa herrar vore statsminister enligt successionsordningsprincipen, äro vi icke alla överens om att det vore en oerhörd olycka, och måste icke till och med bondeförbundets representant, herr Reuterskiöld, medge, att om vi ha eller få en dålig regering i detta land, då är det bra, att den kan störtas utan att man behöver tillgripa så förtvivlade medel för en sådan småsak som en revolution? När det emellertid gäller den förnämsta posten i staten, överhuvudet, då tycka högern, bondeförbundet och de frisinnade, att det är bra som det är. Då gå de in för en princip, som eljest för dem måste framstå som en absurditet.</w:t>
        <w:br/>
        <w:br/>
        <w:t>Kanske är det så, att herrarna mena, att det här icke är fråga om någon viklig post utan bara fråga om en tom dekoration, om en krönt namnstämpel. Ånej, man måste nog vara på det klara med att monarkien innebär allvarliga faror, att ett hov, skyddat av ärftlighetsordningen, kan ställa till ofog. Hur var det med konungens uppträdande år 1914? Minns ni hans ord vid bondetåget, då han tog ställning på sätt som skedde genom att säga, att »de krav, som uppställas av sakkunskapen i min armé och min flotta, dem frångår jag icke». Vi komma också ihåg vilka politiska resultat detta ledde till. Vi minnas ju, hurusom två liberala regeringar under Karl Staaff jagades iväg på grund av konungens uppträdande vid vissa tillfällen. Vi minnas samarbetet mellan hovet och den tyska militärkamarillan under kriget. Vi minnas, hur en drottning lät hylla sig med en krigskrona, sammansatt av skärvor från ett blodigt slagfält. Vi minnas också, hurusom den frisinnade regeringen år 1928 hade en allvarlig kontrovers med hovet, en sak, som var så pass uppseendeväckande, att en borgerlig tidning skrev på följande sätt:</w:t>
        <w:br/>
        <w:br/>
        <w:t>»I samma stund konungen lät regeringen gå på meromnämnda fråga, skiftade den hamn från att vara en lämplighetsfråga, en skiljaktig mening om en viss persons kvalifikationer för posten i Rom, förvandlades den till en otäck taggig principfråga. Den passerade den gamle lektorns skala för de onda andarnas farlighet: slät, luden, taggig. Krisen skulle rent ut sagt kunna taga en så elakartad vändning, att konungen ställdes inför valet att krypa till korset, vilket föga anstår ett majestät, eller riskera sin krona.»</w:t>
        <w:br/>
        <w:br/>
        <w:t xml:space="preserve">Det förekom säkerligen något. Herr statsministern skulle naturligtvis kunna ge besked på den punkten, när en borgerlig tidning kunde uttrycka sig om denna sak på det sätt, jag erinrat om. Vi minnas också, hurusom drottningen vid försvarsbeslutet 1925 underblåste officerarnas, de högre militärernas missnöje mot beslutet, hur </w:t>
      </w:r>
      <w:r>
        <w:rPr>
          <w:b/>
        </w:rPr>
        <w:t>hon²</w:t>
      </w:r>
      <w:r>
        <w:rPr>
          <w:b w:val="0"/>
        </w:rPr>
        <w:t xml:space="preserve"> skrev en handskrivelse till ett visst regemente, 1 vilken det hette »er ära är oförstörbar» och i vilken </w:t>
      </w:r>
      <w:r>
        <w:rPr>
          <w:b/>
        </w:rPr>
        <w:t>hon²</w:t>
      </w:r>
      <w:r>
        <w:rPr>
          <w:b w:val="0"/>
        </w:rPr>
        <w:t xml:space="preserve"> manade till »ståndaktighet». Mot vad? Jo, mot riksdagen. </w:t>
      </w:r>
      <w:r>
        <w:rPr>
          <w:b/>
        </w:rPr>
        <w:t>Hon²</w:t>
      </w:r>
      <w:r>
        <w:rPr>
          <w:b w:val="0"/>
        </w:rPr>
        <w:t xml:space="preserve"> tog sålunda parti för högern i valrörelsen.</w:t>
        <w:br/>
        <w:br/>
        <w:t>Härtill kommer, att konungen fortfarande har rätt att börja krig, att lyfta lilla kreditivet och ställa riksdagen inför ett fullbordat faktum. Vi ha ingen garanti för — konungarna äro ju oansvariga — att icke en dåre skulle kunna komma i tur att ärva kronan.</w:t>
        <w:br/>
        <w:br/>
        <w:t>Härtill kommer också en annan synpunkt, som just vid denna riksdag borde tillmätas en viss betydelse, nämligen sparsamhetssynpunkten. Vi ha varje år från vårt håll yrkat avslag på anslagen under första huvudtiteln, men alla partier utom vårt ha gladeligen gett uppåt 1,800,000 kronor för kungafamiljen.</w:t>
        <w:br/>
        <w:br/>
        <w:t>I år önskade högst densamme få 5 procents löneminskning, och då gick ju riksdagen med på det. Omöjligare var det ju inte. Det synes mig, som om den löneminskningen skulle kunna bäras av en person, som visst har en förmögenhet på något över 9 miljoner kronor enligt uppgifter i en bouppteckning. Det kan bäras av ett hov, som har 100 telefonapparater bara för slottet och dess betjäning från förste beridaren till taffeltäckaren och munskänken, ett hov, som dessutom slipper erlägga några skatter, i varje fall kungafamiljen, och som är befriat från de tullpålagor och jag förmodar också de lyxtullar, som nyligen genomfördes, och som drabba oss andra, ett hov, vars utfodringskostnader för det kungliga hovstallet går till 45,000 kronor om året, ett hov, som har kostnader för kol och ved, d. v. s. eldning av kungliga slottet, med 30,000 kronor och som dessutom har ett extra anslag för täckande av brist i 50,000 kronorsanslaget på 75,000 kronor, alltså summa summarum bara för ved och kol 125,000 kronor eller lika mycket som normalt är inkomsten för 125 bondgårdar i detta land. Det har i år med det nyss påstådda republikanska, socialdemokratiska, partiets medverkan voterats 1,450,000 kronor för hovstaten plus 261,000 kronor för slottsstaten eller tillsammans 1,700,000 kronor och något mera. På tio år har man gett, skulle jag tro, 18 miljoner kronor till detta ändamål. Nog är det väl troligt, att man med en annan statsform skulle kunna göra en besparing till "/; av dessa kostnader. Det hade motsvarat på dessa tio år en summa av 12 miljoner kronor, som skulle kunnat användas i arbetarnas och böndernas intressen, därest riksdagen det velat.</w:t>
        <w:br/>
        <w:br/>
        <w:t>Herr talman! Jag ber att få yrka bifall till herr Nermans 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1921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