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1935</w:t>
      </w:r>
    </w:p>
    <w:p>
      <w:r>
        <w:rPr>
          <w:b/>
        </w:rPr>
        <w:t xml:space="preserve">Datum: </w:t>
      </w:r>
      <w:r>
        <w:t>1932-04-22</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Björn Frithiofsson Holmgren (Lantmanna- och borgarepartiet inom andrakammaren, man)</w:t>
      </w:r>
    </w:p>
    <w:p>
      <w:r>
        <w:rPr>
          <w:b w:val="0"/>
        </w:rPr>
        <w:t xml:space="preserve">Herr talman! Jag måste förutsätta, att kammarens ledamöter inför alla de stora frågor, som vid slutet av en riksdag tränga till lösning, endast kunnat ägna en förströdd uppmärksamhet åt den fråga, som nu ligger före. Det är icke heller en fråga av större statsekonomisk betydelse, även om det för ett stackars ensamt </w:t>
      </w:r>
      <w:r>
        <w:rPr>
          <w:b/>
        </w:rPr>
        <w:t>fruntimmer²</w:t>
      </w:r>
      <w:r>
        <w:rPr>
          <w:b w:val="0"/>
        </w:rPr>
        <w:t xml:space="preserve"> betyder väl eller ve, vilken ståndpunkt kammaren kommer att intaga.</w:t>
        <w:br/>
        <w:br/>
        <w:t xml:space="preserve">Jag vill därför med några ord orientera kammaren i denna fråga. Förhållandet är det, att en </w:t>
      </w:r>
      <w:r>
        <w:rPr>
          <w:b/>
        </w:rPr>
        <w:t>fröken²</w:t>
      </w:r>
      <w:r>
        <w:rPr>
          <w:b w:val="0"/>
        </w:rPr>
        <w:t xml:space="preserve"> Rudelius, som avled den 25 januari 1929, alltså 25 dagar efter det att den nya arvslagen hade kommit i tillämpning, icke efterlämnade närmare anhöriga än kusiner. Sålunda skulle </w:t>
      </w:r>
      <w:r>
        <w:rPr>
          <w:b/>
        </w:rPr>
        <w:t>hennes²</w:t>
      </w:r>
      <w:r>
        <w:rPr>
          <w:b w:val="0"/>
        </w:rPr>
        <w:t xml:space="preserve"> kvarlåtenskap enligt nya lagen gå till arvsfonden. Nu har emellertid </w:t>
      </w:r>
      <w:r>
        <w:rPr>
          <w:b/>
        </w:rPr>
        <w:t>fröken²</w:t>
      </w:r>
      <w:r>
        <w:rPr>
          <w:b w:val="0"/>
        </w:rPr>
        <w:t xml:space="preserve"> Hesselgren i första kammaren väckt en motion, i vilken </w:t>
      </w:r>
      <w:r>
        <w:rPr>
          <w:b/>
        </w:rPr>
        <w:t>hon²</w:t>
      </w:r>
      <w:r>
        <w:rPr>
          <w:b w:val="0"/>
        </w:rPr>
        <w:t xml:space="preserve"> påyrkar, att en mindre del av den årliga avkastningen av det belopp, som efter </w:t>
      </w:r>
      <w:r>
        <w:rPr>
          <w:b/>
        </w:rPr>
        <w:t>fröken²</w:t>
      </w:r>
      <w:r>
        <w:rPr>
          <w:b w:val="0"/>
        </w:rPr>
        <w:t xml:space="preserve"> Rudelius” frånfälle kommit på arvsfondens lott, skall användas till att ge ett årligt understöd åt en </w:t>
      </w:r>
      <w:r>
        <w:rPr>
          <w:b/>
        </w:rPr>
        <w:t>fröken²</w:t>
      </w:r>
      <w:r>
        <w:rPr>
          <w:b w:val="0"/>
        </w:rPr>
        <w:t xml:space="preserve"> Rudelii kusin, en äldre </w:t>
      </w:r>
      <w:r>
        <w:rPr>
          <w:b/>
        </w:rPr>
        <w:t>fru²</w:t>
      </w:r>
      <w:r>
        <w:rPr>
          <w:b w:val="0"/>
        </w:rPr>
        <w:t>, som heter Macintosh, och som befinner sig i ekonomiskt nödläge. |</w:t>
        <w:br/>
        <w:br/>
        <w:t xml:space="preserve">När riksdagen år 1928 antog nya arvslagen fogades till densamma en övergångsbestämmelse med innehåll, att om en person vid tiden för nya lagens ikraftträdande fyllt 50 år, var omyndig och saknade testamentkapicitet, skulle den gamla lagen tillämpas vid den personens frånfälle. Nu var visserligen </w:t>
      </w:r>
      <w:r>
        <w:rPr>
          <w:b/>
        </w:rPr>
        <w:t>fröken²</w:t>
      </w:r>
      <w:r>
        <w:rPr>
          <w:b w:val="0"/>
        </w:rPr>
        <w:t xml:space="preserve"> Rudelius 50 år men icke satt under förmyndare, men i fråga om </w:t>
      </w:r>
      <w:r>
        <w:rPr>
          <w:b/>
        </w:rPr>
        <w:t>henne²</w:t>
      </w:r>
      <w:r>
        <w:rPr>
          <w:b w:val="0"/>
        </w:rPr>
        <w:t xml:space="preserve"> har en </w:t>
      </w:r>
      <w:r>
        <w:rPr>
          <w:b/>
        </w:rPr>
        <w:t>henne²</w:t>
      </w:r>
      <w:r>
        <w:rPr>
          <w:b w:val="0"/>
        </w:rPr>
        <w:t xml:space="preserve"> närstående person — d. v. s. icke genom släktskap utan genom vänskap närstående — avgivit följande intyg. Det är f. d. stadsfiskalen Gustaf Wetterhall. Han skriver på följande sätt:</w:t>
        <w:br/>
        <w:br/>
        <w:t xml:space="preserve">»Anmodad att yttra mig om sinnesbeskaffenheten hos </w:t>
      </w:r>
      <w:r>
        <w:rPr>
          <w:b/>
        </w:rPr>
        <w:t>fröken²</w:t>
      </w:r>
      <w:r>
        <w:rPr>
          <w:b w:val="0"/>
        </w:rPr>
        <w:t xml:space="preserve"> Alma Rudelius, som avled i Gränna i början av innevarande år, kan jag göra det så mycket bättre som jag kände </w:t>
      </w:r>
      <w:r>
        <w:rPr>
          <w:b/>
        </w:rPr>
        <w:t>henne²</w:t>
      </w:r>
      <w:r>
        <w:rPr>
          <w:b w:val="0"/>
        </w:rPr>
        <w:t xml:space="preserve"> medan </w:t>
      </w:r>
      <w:r>
        <w:rPr>
          <w:b/>
        </w:rPr>
        <w:t>hon²</w:t>
      </w:r>
      <w:r>
        <w:rPr>
          <w:b w:val="0"/>
        </w:rPr>
        <w:t xml:space="preserve"> var barn, emedan jag var vän till </w:t>
      </w:r>
      <w:r>
        <w:rPr>
          <w:b/>
        </w:rPr>
        <w:t>hennes²</w:t>
      </w:r>
      <w:r>
        <w:rPr>
          <w:b w:val="0"/>
        </w:rPr>
        <w:t xml:space="preserve"> föräldrar.</w:t>
        <w:br/>
        <w:br/>
        <w:t xml:space="preserve">Först må då nämnas att </w:t>
      </w:r>
      <w:r>
        <w:rPr>
          <w:b/>
        </w:rPr>
        <w:t>hon²</w:t>
      </w:r>
      <w:r>
        <w:rPr>
          <w:b w:val="0"/>
        </w:rPr>
        <w:t xml:space="preserve"> flera år varit anställd i den stora Wettergrenska kappaffären i Göteborg och hade där en viktig plats, som </w:t>
      </w:r>
      <w:r>
        <w:rPr>
          <w:b/>
        </w:rPr>
        <w:t>hon²</w:t>
      </w:r>
      <w:r>
        <w:rPr>
          <w:b w:val="0"/>
        </w:rPr>
        <w:t xml:space="preserve"> skötte med stort beröm av affärsinnehavaren. Men helt plötsligt började </w:t>
      </w:r>
      <w:r>
        <w:rPr>
          <w:b/>
        </w:rPr>
        <w:t>hon²</w:t>
      </w:r>
      <w:r>
        <w:rPr>
          <w:b w:val="0"/>
        </w:rPr>
        <w:t xml:space="preserve"> visa tecken till sinnesoro och nervositet. </w:t>
      </w:r>
      <w:r>
        <w:rPr>
          <w:b/>
        </w:rPr>
        <w:t>Hon²</w:t>
      </w:r>
      <w:r>
        <w:rPr>
          <w:b w:val="0"/>
        </w:rPr>
        <w:t xml:space="preserve"> fördes till ett vilohem en tid. Blev där något bättre, men kunde ej återtaga sin plats utan inackorderades hos en väninna i Göteborg. Sedan förgick en tid till omkring 1906, då </w:t>
      </w:r>
      <w:r>
        <w:rPr>
          <w:b/>
        </w:rPr>
        <w:t>hon²</w:t>
      </w:r>
      <w:r>
        <w:rPr>
          <w:b w:val="0"/>
        </w:rPr>
        <w:t xml:space="preserve"> oväntat kom till Gränna och förklarade, att </w:t>
      </w:r>
      <w:r>
        <w:rPr>
          <w:b/>
        </w:rPr>
        <w:t>hon²</w:t>
      </w:r>
      <w:r>
        <w:rPr>
          <w:b w:val="0"/>
        </w:rPr>
        <w:t xml:space="preserve"> ville bosätta sig här i sin barndomsstad, varför Jag hyrde bostad åt </w:t>
      </w:r>
      <w:r>
        <w:rPr>
          <w:b/>
        </w:rPr>
        <w:t>henne²</w:t>
      </w:r>
      <w:r>
        <w:rPr>
          <w:b w:val="0"/>
        </w:rPr>
        <w:t xml:space="preserve">, som </w:t>
      </w:r>
      <w:r>
        <w:rPr>
          <w:b/>
        </w:rPr>
        <w:t>hon²</w:t>
      </w:r>
      <w:r>
        <w:rPr>
          <w:b w:val="0"/>
        </w:rPr>
        <w:t xml:space="preserve"> innehade under hela tiden här.</w:t>
        <w:br/>
        <w:br/>
        <w:t xml:space="preserve">Sedan </w:t>
      </w:r>
      <w:r>
        <w:rPr>
          <w:b/>
        </w:rPr>
        <w:t>hon²</w:t>
      </w:r>
      <w:r>
        <w:rPr>
          <w:b w:val="0"/>
        </w:rPr>
        <w:t xml:space="preserve"> kommit i besittning av sin bostad stängde </w:t>
      </w:r>
      <w:r>
        <w:rPr>
          <w:b/>
        </w:rPr>
        <w:t>hon²</w:t>
      </w:r>
      <w:r>
        <w:rPr>
          <w:b w:val="0"/>
        </w:rPr>
        <w:t xml:space="preserve"> sina dörrar för anförvanter och bekanta.</w:t>
        <w:br/>
        <w:br/>
      </w:r>
      <w:r>
        <w:rPr>
          <w:b/>
        </w:rPr>
        <w:t>Hon²</w:t>
      </w:r>
      <w:r>
        <w:rPr>
          <w:b w:val="0"/>
        </w:rPr>
        <w:t xml:space="preserve"> hade aldrig lampa eller ljus tänt i sitt hem och eldade ej heller utan låg i oeldade rum även under vintern. </w:t>
      </w:r>
      <w:r>
        <w:rPr>
          <w:b/>
        </w:rPr>
        <w:t>Hennes²</w:t>
      </w:r>
      <w:r>
        <w:rPr>
          <w:b w:val="0"/>
        </w:rPr>
        <w:t xml:space="preserve"> diet var att varje morgon i ett mejeri dricka 2 liter mjölk och möjligen någon enkel mat i hemmet. TI sin klädsel var </w:t>
      </w:r>
      <w:r>
        <w:rPr>
          <w:b/>
        </w:rPr>
        <w:t>hon²</w:t>
      </w:r>
      <w:r>
        <w:rPr>
          <w:b w:val="0"/>
        </w:rPr>
        <w:t xml:space="preserve"> originell och använde endast gamla slitna kläder, oaktat </w:t>
      </w:r>
      <w:r>
        <w:rPr>
          <w:b/>
        </w:rPr>
        <w:t>hon²</w:t>
      </w:r>
      <w:r>
        <w:rPr>
          <w:b w:val="0"/>
        </w:rPr>
        <w:t xml:space="preserve"> hade rik tillgång på präktiga kläder av alla slag.</w:t>
        <w:br/>
        <w:br/>
        <w:t xml:space="preserve">Flera egenheter av </w:t>
      </w:r>
      <w:r>
        <w:rPr>
          <w:b/>
        </w:rPr>
        <w:t>henne²</w:t>
      </w:r>
      <w:r>
        <w:rPr>
          <w:b w:val="0"/>
        </w:rPr>
        <w:t xml:space="preserve"> skulle kunna omnämnas, men de uppräknade torde vara nog.</w:t>
        <w:br/>
        <w:br/>
        <w:t xml:space="preserve">Sina affärer skötte </w:t>
      </w:r>
      <w:r>
        <w:rPr>
          <w:b/>
        </w:rPr>
        <w:t>hon²</w:t>
      </w:r>
      <w:r>
        <w:rPr>
          <w:b w:val="0"/>
        </w:rPr>
        <w:t xml:space="preserve"> själv utan medverkan av någon annan, och det visade sig vid utredningen av </w:t>
      </w:r>
      <w:r>
        <w:rPr>
          <w:b/>
        </w:rPr>
        <w:t>hennes²</w:t>
      </w:r>
      <w:r>
        <w:rPr>
          <w:b w:val="0"/>
        </w:rPr>
        <w:t xml:space="preserve"> bo, att </w:t>
      </w:r>
      <w:r>
        <w:rPr>
          <w:b/>
        </w:rPr>
        <w:t>hon²</w:t>
      </w:r>
      <w:r>
        <w:rPr>
          <w:b w:val="0"/>
        </w:rPr>
        <w:t xml:space="preserve"> hade sin förmögenhet väl placerad, men hur </w:t>
      </w:r>
      <w:r>
        <w:rPr>
          <w:b/>
        </w:rPr>
        <w:t>hon²</w:t>
      </w:r>
      <w:r>
        <w:rPr>
          <w:b w:val="0"/>
        </w:rPr>
        <w:t xml:space="preserve"> hade tänkt sig att för framtiden använda sin egendom, kan jag icke yttra mig.</w:t>
        <w:br/>
        <w:br/>
        <w:t xml:space="preserve">Döden kom överraskande för </w:t>
      </w:r>
      <w:r>
        <w:rPr>
          <w:b/>
        </w:rPr>
        <w:t>henne²</w:t>
      </w:r>
      <w:r>
        <w:rPr>
          <w:b w:val="0"/>
        </w:rPr>
        <w:t xml:space="preserve">. </w:t>
      </w:r>
      <w:r>
        <w:rPr>
          <w:b/>
        </w:rPr>
        <w:t>Hon²</w:t>
      </w:r>
      <w:r>
        <w:rPr>
          <w:b w:val="0"/>
        </w:rPr>
        <w:t xml:space="preserve"> var under alla år </w:t>
      </w:r>
      <w:r>
        <w:rPr>
          <w:b/>
        </w:rPr>
        <w:t>hon²</w:t>
      </w:r>
      <w:r>
        <w:rPr>
          <w:b w:val="0"/>
        </w:rPr>
        <w:t xml:space="preserve"> bodde här vid god hälsa.</w:t>
        <w:br/>
        <w:br/>
        <w:t>1 dessa frågor, när Kungl. Maj:t har föreslagit riksdagen, att man skulle avstå från arvsfondens rätt. Och riksdagen har gått med på ett sådant förslag. Det är ju, att den sökande bör ha stått den avlidna nära på något sätt. Här har icke under den förberedande behandlingen i avdelningen på något sätt kunnat visas, att sökanden stått den avlidna nära, ej heller under den omfattande utredning, som under rättegången gjordes. Det framgick nämligen ur den förberedande undersökningen, att den avlidna gjort ett muntligt testamente till Gränna stad, och därför gjorde staden anspråk på detta. Men testamentet underkändes av vederbörande myndighet. Och under sådana förhållanden, då som sagt icke några sakliga skäl ha kunnat framföras för detta, och då ett beslut i överensstämmelse med herr Holmgrens yrkande här kommer att medföra rätt vittgående konsekvenser i fortsättningen vid behandlingen av sådana frågor, vill jag verkligen ifrågasätta, om de ömmande omständigheterna äro av sådan natur, att kammaren bör gå med på ett bifall till reservationen. Jag tror, att det skulle vara ett mycket olyckligt prejudikat, vi därigenom skapade.</w:t>
        <w:br/>
        <w:br/>
        <w:t>Jag skall icke upptaga kammarens tid längre. Jag ber att få yrka bifall till utskottets hemställan.</w:t>
      </w:r>
    </w:p>
    <w:p>
      <w:pPr>
        <w:pStyle w:val="Heading2"/>
      </w:pPr>
      <w:r>
        <w:t>2. Björn Frithiofsson Holmgren (Lantmanna- och borgarepartiet inom andrakammaren, man)</w:t>
      </w:r>
    </w:p>
    <w:p>
      <w:r>
        <w:rPr>
          <w:b w:val="0"/>
        </w:rPr>
        <w:t>Herr talman! Det är nog alldeles riktigt, som den föregående talaren framhöll, att inga sakliga skäl tala för ett bifall till reservationen. Jag har heller icke anlagt några sakliga synpunkter på detta utan helt enkelt hänvisat till billighetsskäl. Det är ju självklart, att när ett sådant här ärende kommer under Kungl. Maj:ts prövning, Kungl. Maj:t icke har annat att göra än att strikt se efter att lagar och bestämmelser bliva följda, och genom att hela detta arv tagits till arvsfonden har ju gällande lag blivit ordentligt iakttagen. Som här framhållits har emellertid riksdagen vid många tillfällen, när billighetsskäl talat för det, gått förbi sådana regler och bestämmelser, som riksdagen själv stadgat, för att i tillämpningen få det så mjukt, att icke onödigt våld gått ut över den enskilde, när en lag kommit till stånd. Det är den synpunkten, som för mig uteslutande varit avgörande, när jag ställt mig bland reservanterna i statsutskottet. Jag vill tillägga, att jag visserligen var den ende reservanten i denna kammare, men innan vi i utskottet haft omröstning om saken, voro vi från denna kammare flera stycken, som intogo samma ståndpunkt som den, jag nu förfäktar, fastän de övriga icke brydde sig om att reservera sig. Från första kammaren antecknade sig, vill jag minnas, 7 reservanter.</w:t>
      </w:r>
    </w:p>
    <w:p>
      <w:pPr>
        <w:pStyle w:val="Heading2"/>
      </w:pPr>
      <w:r>
        <w:t>3. Robert Jansson (Socialdemokraterna, man)</w:t>
      </w:r>
    </w:p>
    <w:p>
      <w:r>
        <w:rPr>
          <w:b w:val="0"/>
        </w:rPr>
        <w:t xml:space="preserve">Herr talman! Det är, som min kamrat i avdelningen redan sagt: sakliga skäl föreligga icke att bifalla föreliggande motion, utan man kan endast tala om billighetsskäl. Det finns ju fall då riksdagen på grund av proposition från Kungl. Maj:t haft att pröva sådana här frågor. Vi ha ansett, att, om starka billighetsskäl föreligga, bör det ankomma på Kungl. Maj:t att för riksdagen framlägga proposition varigenom rättvisa så långt som möjligt må kunna ernås. Det är icke allenast </w:t>
      </w:r>
      <w:r>
        <w:rPr>
          <w:b/>
        </w:rPr>
        <w:t>fru²</w:t>
      </w:r>
      <w:r>
        <w:rPr>
          <w:b w:val="0"/>
        </w:rPr>
        <w:t xml:space="preserve"> Macintosh, som är kusin till arvlåtaren, utan det finns tre eller fyra andra kusiner, som äro i mer eller mindre små ekonomiska omständigheter. Vi ha därför ansett det vara lämpligt, att Kungl. Maj:t, om så finnes skäligt och tillbörligt, ordnar frågan genom att framlägga en proposition i ämnet och att man icke på grund av enskild motion skall gå in för att rycka loss en del av en fråga. Jag tror, att om riksdagen släpper efter på den punkten, när det gäller arvsfonden, kommer det att bliva många tråkiga historier. En person, som lyckats erhålla en framskjuten motionär, kan kanske vinna bifall, medan en annan, som är i lika stort behov, men icke har lika goda förespråkare i riksdagen, blir utan. Dessa frågor</w:t>
        <w:br/>
        <w:br/>
        <w:t>måste behandlas enhetligt, och vi kunna icke få en enhetlig behandling av dem, Ang. om det icke går genom Kungl. Maj:t. Så ha vi sett saken. Vidare finns det OYSTRENdE Ge Ju bestämda riktlinjer uppdragna, efter vilka Kungl. Maj:t har att handla, då arvsfondens det är fråga om att utdela bidrag från arvsfonden. TI vissa fall kan Kungl. rätt till viss Maj:t på egen hand lämna sådana bidrag, och i andra fall har Kungl. Maj:t tvarlåtenskap. möjlighet att efter riksdagens hörande lämna bidrag. Vi mena sålunda, att (Forts) om det föreligger ömmande skäl och skäl som äro tillräckligt bärande, är det Kungl. Maj:ts plikt att höra riksdagen om saken, och jag är förvissad om att riksdagen kommer att bifalla en framställning från Kungl. Maj:ts sida. Såvitt Jag minns, har riksdagen aldrig, sedan arvsfonden kommit till, avslagit en proposition, som kommit från Kungl. Maj:t, men vi ha velat ha garantier för en enhetlig handläggning av sådana här frågor. Så ha vi sett saken, och jag tror vi stå på den säkra sidan.</w:t>
        <w:br/>
        <w:br/>
        <w:t>Härmed ber jag, herr talman, att få yrka bifall till utskottets hemställan.</w:t>
      </w:r>
    </w:p>
    <w:p>
      <w:pPr>
        <w:pStyle w:val="Heading2"/>
      </w:pPr>
      <w:r>
        <w:t>4. Edvard Lithander (Lantmanna- och borgarepartiet inom andrakammaren, man)</w:t>
      </w:r>
    </w:p>
    <w:p>
      <w:r>
        <w:rPr>
          <w:b w:val="0"/>
        </w:rPr>
        <w:t>Herr talman! Herr Svensson i Grönvik fruktade konsekvenserna, ifall vi bifalla detta. Jag vill säga, att om det gäller lika ömmande fall, som det nu gäller, böra vi icke vara rädda för konsekvenserna. Jag skulle vilja till den ärade talaren hemställa, hur han tycker det skulle vara om i ett bondehem, där kusiner till den avlidne levde i sådan nöd, som det nu här gäller, finge gå ifrån en jordegendom, därför att dödsfallet inträffat 25 dagar efter det att den nya arvslagen trätt i tillämpning. Jag tror, att han skulle vara den första att yrka bifall till en sådan hjälp.</w:t>
        <w:br/>
        <w:br/>
        <w:t>Till utskottets ärade talesman vill jag säga, att jag respekterar, att statsutskottet i sin verksamhet försöker att skipa största möjliga rättvisa, och jag förstår även, att han anser sådana här frågor böra omsorgsfullt utredas och för riksdagen framläggas av Kungl. Maj:t men i föreliggande fall ha vi ett direkt belägg för att hjälp bör lämnas och bör lämnas snart. Om det finns fall, som äro lika ömmande som det, vilket nu är föremål för prövning, så låt då Kungl. Maj:t komma med förslag, men låt oss i detta fall fatta beslut i den fråga, som här föreligger. Här går kammaren icke fel, därest kammaren bifaller kommendör Holmgrens yrkande, till vilket jag också ber att få yrka bifall.</w:t>
      </w:r>
    </w:p>
    <w:p>
      <w:pPr>
        <w:pStyle w:val="Heading2"/>
      </w:pPr>
      <w:r>
        <w:t>5. Björn Frithiofsson Holmgren (Lantmanna- och borgarepartiet inom andrakammaren, man)</w:t>
      </w:r>
    </w:p>
    <w:p>
      <w:r>
        <w:rPr>
          <w:b w:val="0"/>
        </w:rPr>
        <w:t xml:space="preserve">Tredje avdelningens ordförande hade nyss ett principuttalande, mot vilket jag tror ingen har något att erinra. Det väsentliga däri var ju, att riksdagen icke på egen hand bör fatta sådana här beslut, utan bör Kungl. Maj:t pröva saken och framlägga proposition. Allt detta tycker jag vi alla kunna vara ense om, och det är även vi reservanter fullt ense med ordföranden om att den vägen bör det gå, och det är ju just därför vi yrka, att riksdagen må i anledning av </w:t>
      </w:r>
      <w:r>
        <w:rPr>
          <w:b/>
        </w:rPr>
        <w:t>fröken²</w:t>
      </w:r>
      <w:r>
        <w:rPr>
          <w:b w:val="0"/>
        </w:rPr>
        <w:t xml:space="preserve"> Hesselgrens förevarande motion i skrivelse till Kungl. Maj:t anhålla, att Kungl. Maj:t måtte taga under förnyat övervägande, huruvida och i vilken omfattning Ellen Macintosh må beredas livränta ur den allmänna arvsfonden tillfallna kvarlåtenskapen efter </w:t>
      </w:r>
      <w:r>
        <w:rPr>
          <w:b/>
        </w:rPr>
        <w:t>fröken²</w:t>
      </w:r>
      <w:r>
        <w:rPr>
          <w:b w:val="0"/>
        </w:rPr>
        <w:t xml:space="preserve"> Alma Rudelius från Gränna. Således: vi äro fullkomligt ense i princip, och vi önska just, att Kungl. Maj:t tager denna fråga under allvarlig omprövning.</w:t>
      </w:r>
    </w:p>
    <w:p>
      <w:pPr>
        <w:pStyle w:val="Heading2"/>
      </w:pPr>
      <w:r>
        <w:t>6. Anders Råstock (Socialdemokraterna, man)</w:t>
      </w:r>
    </w:p>
    <w:p>
      <w:r>
        <w:rPr>
          <w:b w:val="0"/>
        </w:rPr>
        <w:t>Herr talman! Det är ju känt för kammarens ledamöter sedan många år tillbaka, att herr Holmgren är vad man skulle kunna kalla en fribytare på det här området, och hans många eskapader i det fallet föranledde ju också bankoutskottet att på sin tid föreslå riksdagen en skrivelse</w:t>
        <w:br/>
        <w:br/>
        <w:t>till Kungl. Maj:t för att få någon fason på vissa slag av frågor, så att riksdagen icke ena gången på grund av att den ene varit vältalig och den andra gången på grund av att den andre varit vältalig, som skett mången gång, beslutat utan att så noga veta vad den tagit sig för. Det var bara en liten stilla randanmärkning, jag ville göra.</w:t>
        <w:br/>
        <w:br/>
        <w:t>När man nu här talar om vad advokatfiskalsämbetet sagt, förvånar det mig, att icke reservanten och hans »instämmare» hysa den allra minsta medömkan för de andra tre, beträffande vilka advokatfiskalsämbetet för sin del sagt, att det kunde vara skäl i att även de komme i åtanke. Jag kan försäkra, att hade det för statsutskottet gällt att skipa rättvisa åt fyra och inte bara åt en hade det säkert blivit ett annat resultat.</w:t>
        <w:br/>
        <w:br/>
        <w:t>Det har lämnats sådana upplysningar i denna sak, att jag tror, att det klokaste, kammaren kan göra, är att bifalla statsutskottets hemställan så att man icke går och förrycker den prövning, som möjligen kan vara nog så nödvändig en gång även beträffande de övriga tre.</w:t>
        <w:br/>
        <w:br/>
        <w:t>a dessa skäl ber jag, herr talman, att få yrka bifall till utskottets hemställan.</w:t>
      </w:r>
    </w:p>
    <w:p>
      <w:pPr>
        <w:pStyle w:val="Heading2"/>
      </w:pPr>
      <w:r>
        <w:t>7. Björn Frithiofsson Holmgren (Lantmanna- och borgarepartiet inom andrakammaren, man)</w:t>
      </w:r>
    </w:p>
    <w:p>
      <w:r>
        <w:rPr>
          <w:b w:val="0"/>
        </w:rPr>
        <w:t xml:space="preserve">Gentemot statsutskottets ärade ordförande ber jag att få framhålla, att vi förvisso ömma även för de andra kusinerna, men det är här inga andra kusiner i fråga än </w:t>
      </w:r>
      <w:r>
        <w:rPr>
          <w:b/>
        </w:rPr>
        <w:t>fru²</w:t>
      </w:r>
      <w:r>
        <w:rPr>
          <w:b w:val="0"/>
        </w:rPr>
        <w:t xml:space="preserve"> Macintosh. Det gäller en. Hade det gällt allihop, hade jag säkerligen gått på den linjen också.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1935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