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736</w:t>
      </w:r>
    </w:p>
    <w:p>
      <w:r>
        <w:rPr>
          <w:b/>
        </w:rPr>
        <w:t xml:space="preserve">Datum: </w:t>
      </w:r>
      <w:r>
        <w:t>1934-03-16</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Edward Larson (–, man)</w:t>
      </w:r>
    </w:p>
    <w:p>
      <w:r>
        <w:rPr>
          <w:b w:val="0"/>
        </w:rPr>
        <w:t>Herr talman! Jämte fyra andra ledamöter av utskottet har jag till detta betänkande fogat en reservation och ber i anledning därav att få säga några ord.</w:t>
        <w:br/>
        <w:br/>
        <w:t>Jag ber då först att få säga, att då vi här begära en utredning, avse vi inte en isolerad utredning rörande huvudgrunderna i gällande bestämmelser om rätt till nödvärn, utan det är endast i ett par avseenden vi yrka på en utredning. Ett av dessa gäller nödvärnsregeln, såvitt angår ärekränkning. Såsom 1 motionen anföres, lär rättspraxis inte medge nödvärnsrätt i annan form av ärekränkning än s. k. realinjurier, d. v. s. kroppslig beröring. Det är för lekmännen något nytt, att en kroppslig beröring skulle innebära ärekränkning, och jag är alldeles viss om att en sådan sats strider mot det allmänna rättsmedvetandet, men jag förstår givetvis, att det ur juridisk synpunkt inte är något nytt utan att det under den långa tid, som denna lag varit i kraft — 40 å 50 år, om jag inte tar fel —, blivit rättspraxis att döma efter dessa regler. Men nog är det väl ändå egendomligt, att det skall kunna kallas ärekränkning eller inbegripas i ärekränkning, om man vidrör en persons kropp. Det kan jag för min del inte fatta annat än som en alldeles föråldrad uppfattning.</w:t>
        <w:br/>
        <w:br/>
        <w:t xml:space="preserve">I allmänhet är det väl så, att ett angrepp föregås av misshandel, missfirmelse eller ärekränkning. Nu säga nödvärnsreglerna, att man inte får bruka större våld, än nöden kräver. Endast då vederbörande varit i trängande fara eller svårligen kunnat sig besinna, föreligga förmildrande omständigheter i fråga om nödvärn. Ja, i det mer eller mindre upprörda tillstånd, som en människa alltid befinner sig, då </w:t>
      </w:r>
      <w:r>
        <w:rPr>
          <w:b/>
        </w:rPr>
        <w:t>hon²</w:t>
      </w:r>
      <w:r>
        <w:rPr>
          <w:b w:val="0"/>
        </w:rPr>
        <w:t xml:space="preserve"> blir hotad eller anfallen, är det givetvis alldeles omöjligt för </w:t>
      </w:r>
      <w:r>
        <w:rPr>
          <w:b/>
        </w:rPr>
        <w:t>henne²</w:t>
      </w:r>
      <w:r>
        <w:rPr>
          <w:b w:val="0"/>
        </w:rPr>
        <w:t xml:space="preserve"> att kunna avgöra, om trängande fara har inträtt. Det är ju alldeles klart, att ingen människa under sådana förhållanden kan tänka kallt. Det går naturligtvis att göra det i en rättssal, men när man blir ställd inför hotet, är det fullkomligt omöjligt att vara kall och oberörd, utan man blir exalterad och har svårt att tänka kallt.</w:t>
        <w:br/>
        <w:br/>
        <w:t>Det är ju alldeles givet, att om ett överfall skall avvärjas, måste det avvärjas i tid, ty i annat fall kan det mycket lätt bli för sent. Det fordras ju bara ett enda slag för att man så att säga skall vara satt ur funktion och ur stånd att försvara sig. Nu är det givetvis så, att det finns olika naturer. Den ena människan kommer och svär och domderar och kanske inte är så farlig, men man kan ju aldrig veta. En annan person kommer smygande och kanske inte säger så mycket, men han är färdig att genast slå till. Hur skall en person, som är uppskrämd, just kunna bedöma var gränsen går, då han får bruka nödvärn, eller när han skall stå så gott som försvarslös? Detta är en gammal lagbestämmelse, som enligt vårt förmenande bör ändras och tillrättaläggas, och utskottet säger ju också, att lagen inte står i överensstämmelse med moderna principer, men icke förty kommer utskottet till den uppfattningen, att man nu inte bör göra något utan att det hela är bra som det är.</w:t>
        <w:br/>
        <w:br/>
        <w:t>Den andra punkten, där vi begära ändring, gäller 14 kap. 5 $ strafflagen. Det är ju så, att den svenska strafflagens allmänna regel är, att straffet blir beroende av effekten, även om denna framkallats genom ren olyckshändelse. På lekmannahåll har man svårt att förlika sig med sådana rättsbegrepp, men jag förstår, att juristerna se på saken på annat sätt. Låt mig t. ex. ta det fallet här i Stockholm, då en person, som blev antastad och</w:t>
        <w:br/>
        <w:br/>
        <w:t>Här läsa vi allt som oftast, att en bilist kör ihjäl en människa och blir dömd till en månads fängelse. Man måste väl ändå säga, att såväl i det ena fallet som i det andra är effekten något så när densamma — både vid kollisionen med bilen och vid det utdelade slaget, som fällde mannen i gatan — men straffen skilja sig ofantligt mycket. Det är därför allmänheten reagerat mot den stora orättvisan i att mannen, som inte avsåg att skada i egentlig mening, men likväl genom olyckshändelse blev skuld till att den andra dog, fick så hårt straff, och det är bl. a. detta, som föranlett oss reservanter att yrka, att man här borde söka få till stånd en utredning för att vinna rättelse på detta område.</w:t>
        <w:br/>
        <w:br/>
        <w:t>Vi förstå lika väl som utskottsmajoriteten, att denna är en mycket svår fråga, men inte får man väl ändå därför avstå från en utredning, då man i alla fall vet, att lagen, som är så orimlig och orättvis, tillkom på en tid, då det rådde helt andra förhållanden än nu. Alldeles säkert skulle inte en utredning i detta fall komma att uppmuntra några våldshandlingar, men det bleve givetvis en mera rättvis fördelning mellan brott och straff. Man måste ju göra skillnad på, om en person angriper i syfte att verkligen skada en människa och om han själv blir angripen och stöter angriparen ifrån sig. Det är, som sagt, en helt annan tid vi nu leva i, och vi anse därför, att en utredning på detta område vore nyttig och nödvändig.</w:t>
        <w:br/>
        <w:br/>
        <w:t>Nu säges visserligen från juristhåll, att man kan söka nåd, och det gjorde ju också den personen, som jag nyss talade om. Men kan det verkligen vara värdigt Sverige att ha en lagstiftning, som innebär, att man måste begära nåd för att få rättvisa? Man måste säga, att det är en alldeles föråldrad ståndpunkt.</w:t>
        <w:br/>
        <w:br/>
        <w:t>Tiden är långt framskriden, och jag skall inte uppta den längre. Jag will därför kort och gott yrka bifall till den av oss avgivna reservationen.</w:t>
      </w:r>
    </w:p>
    <w:p>
      <w:pPr>
        <w:pStyle w:val="Heading2"/>
      </w:pPr>
      <w:r>
        <w:t>2. Georg Bissmark (Första kammarens nationella parti, man)</w:t>
      </w:r>
    </w:p>
    <w:p>
      <w:r>
        <w:rPr>
          <w:b w:val="0"/>
        </w:rPr>
        <w:t>Herr talman! Då lagutskottets ärade ordförande till följd av förkylning är förhindrad att yttra sig å utskottets vägnar, skall jag be att med några ord få besvara herr Larsons erinringar.</w:t>
        <w:br/>
        <w:br/>
        <w:t>Jag får säga, att jag förstod inte riktigt herr Larsons anförande, därför att det gick alldeles utöver ramen för reservationen i vissa avseenden. Reservationen, till vilken han yrkade bifall, avser i fråga om nödvärnsrätten ändring endast på en enda punkt, alltså den, som gäller nödvärn mot ärekränkning. Jag skall därför inte heller ta upp hans yttrande i vad det avser kritik av den bestående nödvärnsrätten i övrigt. Jag vill bara säga, att då han påstår, att denna är föråldrad och att utskottet har medgivit detta, har utskottet tvärtom sagt ifrån ganska bestämt, att den i det hela taget mycket väl fyller de krav, som kunna ställas på en nödvärnsrätt, och det är att märka, att vår strafflagskommission i stort sett anslutit sig till nu gällande be-</w:t>
        <w:br/>
        <w:br/>
        <w:t>Jag får nu säga, att vi inom utskottet ganska allmänt reagerat mot att införa en dylik nödvärnsrätt, även om man som reservanterna gör gällande, att denna nödvärnsrätt endast skall få utövas för att förhindra en fortsatt ärekränkning, eller hur det är de uttrycka sig. När det gäller att förekomma ärekränkning, är det väl påtagligt, att detta skulle innebära en utvidgning av nödvärnsrätten, som skulle kunna leda till mycket tråkiga konsekvenser. Det är ju i allmänhet så, att alla slagsmål börja med att folk grälar på varandra. Skulle då den, som grälar värst, bli föremål för misshandel genom att den andre söker tysta munnen på honom, skulle man ju få mycket komplicerade fall att avgöra. I allmänhet är det så vid slagsmål, att det blir ett munhuggande å ömse håll, och folk drar sig för att ge första slaget. Jag tror att den sunda instinkten att icke slå första slaget befriat samhället från en massa slagsmål. Skulle man nu införa ärekränkning såsom ett moment, som berättigar till nödvärn, är jag för min del rädd för att man även kommer att utvidga möjligheterna till slagsmål i en utsträckning, som inte varit avsedd.</w:t>
        <w:br/>
        <w:br/>
        <w:t xml:space="preserve">Det fall, som väckt särskild uppmärksamhet, är då t. ex. en person går med sin </w:t>
      </w:r>
      <w:r>
        <w:rPr>
          <w:b/>
        </w:rPr>
        <w:t>dam²</w:t>
      </w:r>
      <w:r>
        <w:rPr>
          <w:b w:val="0"/>
        </w:rPr>
        <w:t xml:space="preserve"> och det kommer en full individ och antaster </w:t>
      </w:r>
      <w:r>
        <w:rPr>
          <w:b/>
        </w:rPr>
        <w:t>henne²</w:t>
      </w:r>
      <w:r>
        <w:rPr>
          <w:b w:val="0"/>
        </w:rPr>
        <w:t xml:space="preserve"> på något sätt med tilltal och den person, som är i damens sällskap, slår till den antastande mannen. Man menar nog, att detta är en akt av ridderlighet, som förtjänar belöning snarare än straff. Om det då går så, som nyligen inträffade här, att den som blir föremål för tillrättavisningen avlider på grund av misshandeln, så föreligger enligt nu gällande rätt inte nödvärnsrätt, och gärningsmannen blir dömd efter samma grunder som om han utan anledning hade misshandlat den antastande mannen. Men jag får ju säga, att det finns knappast möjlighet att beakta alla omständigheter, som kunna föreligga inom den strafflatitud, som är bestämd i ett lagrum. Nådeinstitutet har tillkommit för att man i särskilda fall, då omständigheterna äro alldeles säregna, skall kunna avvika från lagens strikta bestämmelser. I det fall, som den föregående talaren omnämnde, var det inte så oskyldigt som han framställde det. Det var nog ett våldsamt och kraftigt slag, som tilldelades den antastande mannen, och han dog inte på grund av någon säregen tillfällighet, t. ex. som det ibland kan inträffa vid en olycka, att det är något i vägen, som tränger in 1 kroppen, utan det var nog på grund av fallets våldsamhet som han avled. Det visade också nådeansökningens utgång, då straffet endast nedsattes till sex månaders straffarbete.</w:t>
        <w:br/>
        <w:br/>
        <w:t>Nu förmena reservanterna här, att man med hänsyn till dylika fall borde ha en lägre strafflatitud i den paragrafen i strafflagen, som här var åberopad — 14 kap. 5 $. Gentemot detta får jag säga, att när vi tala om nödvärn är en sådan nedsättning icke nödvändig, ty när det är fråga om nödvärnsexcess och straff skall utdömas, är minimum för straffet där borttaget. Om det i det fall, som här föreligger, hade varit verkligt nödvärn, men förelegat nödvärnsexcess, hade man kunnat gå ned till hur lågt belopp som helst i straffskalan. Man hade kunnat döma även till allra minsta böter. När det gäller verkligt nödvärn finnes alltså inget behov av en sänkning av latituden. Men däremot, när det är fråga om dylika fall, som jag nu nämnt, då det inte enligt nu gällande lag föreligger nödvärnsrätt, kan man inte gå ned under latituden två år.</w:t>
        <w:br/>
        <w:br/>
        <w:t>Nu säger herr Larson, att detta är omänskligt och barbariskt. Ja, det kan</w:t>
        <w:br/>
        <w:br/>
        <w:t>Om ändrade bestämmelser ang. rätt till nödvärn. (Forts.) ju vara olika meningar om det. Det måste nog i allmänhet inskärpas mycket strängt hos människorna, att de inte få våldföra sig mot sina medmänniskor. Om det inträffar en olycka, är det inte oförskyllt, som herr Larson här antydde, utan det är ju i de flesta fall ett grovt vållande att slå till en annan på det sätt åtminstone, som i det nu av mig relaterade fallet skedde, och under sådana förhållanden får man ju säga, att det är rätt så vanskligt att gå in för en nedsättning av strafflatituden. Även om man är beredd att ta konsekvenserna av en sådan nedsättning — en konsekvens kommer ju att bli, att straffet även i många andra fall kommer att sättas under vad som för närvarande utgår — föreligger alltid den betänkligheten, att vi ha dylika straffskärpande effekter även på flera andra områden inom strafflagen. Det objektiva överskottet föranleder ofta en straffskärpning, som är av ungefår samma mått som i nu förevarande $, och då ha vi inom utskottet ansett å ena sidan, att man inte kan ta upp denna allmänna revision av strafflagen, som skulle erfordras på denna motion. Det blir en mycket omfattande och besvärlig revision. Å andra sidan ha vi inte ansett att tillräckligt skäl föreligger för att just bryta loss detta enda lagbud och där vidtaga en ändring, som skulle kunna anses påkallad.</w:t>
        <w:br/>
        <w:br/>
        <w:t>Ja, med hänsyn till den långt framskridna tiden skall jag inte längre upp- Sm kammarens tid. Jag ber alltså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736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