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739</w:t>
      </w:r>
    </w:p>
    <w:p>
      <w:r>
        <w:rPr>
          <w:b/>
        </w:rPr>
        <w:t xml:space="preserve">Datum: </w:t>
      </w:r>
      <w:r>
        <w:t>1934-04-25</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Axel Löfvander (Bondeförbundet, man)</w:t>
      </w:r>
    </w:p>
    <w:p>
      <w:r>
        <w:rPr>
          <w:b w:val="0"/>
        </w:rPr>
        <w:t>Herr talman! Jag skall såsom motionär i denna fråga be att få säga några få ord i anledning av det föreliggande utskottsbetänkandet.</w:t>
        <w:br/>
        <w:br/>
        <w:t>Var och en, som något sysslat med arbete inom en fattigvårdsstyrelse eller barnavårdsnämnd i en kommun, har säkerligen fått den erfarenheten, att mantalsskrivningsoch hemortsrättsförhållandena i vårt land inte äro tillfredsställande. Därom vittna även alla de förslag, som under senare år framlagts inför regering och riksdag för att få rättelse härutinnan.</w:t>
        <w:br/>
        <w:br/>
        <w:t>Den nuvarande bestämmelsen om att en person, som inflyttar i en kommun och blir där mantalsskriven, skall ha ett s. k. fattigvårdsfritt år i denna nya</w:t>
        <w:br/>
        <w:br/>
        <w:t xml:space="preserve">För att de, som tilläventyrs inte sysslat med dessa ting, skola kunna få en inblick i förhållandena, skall jag be att få anföra några exempel. Från en kommun i södra Skåne flyttade hit till Stockholm en familj, bestående av man och </w:t>
      </w:r>
      <w:r>
        <w:rPr>
          <w:b/>
        </w:rPr>
        <w:t>hustru²</w:t>
      </w:r>
      <w:r>
        <w:rPr>
          <w:b w:val="0"/>
        </w:rPr>
        <w:t xml:space="preserve">. Mannen fick rätt snart arbete vid ett bygge, och </w:t>
      </w:r>
      <w:r>
        <w:rPr>
          <w:b/>
        </w:rPr>
        <w:t>hustrun²</w:t>
      </w:r>
      <w:r>
        <w:rPr>
          <w:b w:val="0"/>
        </w:rPr>
        <w:t xml:space="preserve"> fick plats som diskerska vid ett hotell. Efter någon tid blev </w:t>
      </w:r>
      <w:r>
        <w:rPr>
          <w:b/>
        </w:rPr>
        <w:t>hustrun²</w:t>
      </w:r>
      <w:r>
        <w:rPr>
          <w:b w:val="0"/>
        </w:rPr>
        <w:t xml:space="preserve"> sjuk och måste anlita sjukhusvård, och denna sjukhusvård betalades av fattigvårdsstyrelsen i Stockholm. Denna sökte sedan hemkommunen för beloppet, som inte blev så obetydligt, alldenstund avgiften var 4 kronor om dagen. Länsstyrelsen dömde hemortskommunen att betala. Kommunen anförde då besvär över detta länsstyrelsens beslut, men det fastställdes av kammarrätten. Mannen hade en inkomst av 56 kronor per vecka, och vi ansågo, att han själv skulle kunna betala sin </w:t>
      </w:r>
      <w:r>
        <w:rPr>
          <w:b/>
        </w:rPr>
        <w:t>hustrus²</w:t>
      </w:r>
      <w:r>
        <w:rPr>
          <w:b w:val="0"/>
        </w:rPr>
        <w:t xml:space="preserve"> sjukvård, men trots detta utdömde myndigheterna i Stockholm beloppet av hemortskommunen. Ändå är det att märka, att mannen för sin inkomst under den tid, som </w:t>
      </w:r>
      <w:r>
        <w:rPr>
          <w:b/>
        </w:rPr>
        <w:t>hustrun²</w:t>
      </w:r>
      <w:r>
        <w:rPr>
          <w:b w:val="0"/>
        </w:rPr>
        <w:t xml:space="preserve"> hade understöd från Skånekommunen, betalade skatt till Stockholms stad.</w:t>
        <w:br/>
        <w:br/>
        <w:t xml:space="preserve">Jag skall taga ett annat fall. En familj på man, </w:t>
      </w:r>
      <w:r>
        <w:rPr>
          <w:b/>
        </w:rPr>
        <w:t>hustru²</w:t>
      </w:r>
      <w:r>
        <w:rPr>
          <w:b w:val="0"/>
        </w:rPr>
        <w:t xml:space="preserve"> och fem barn flyttade från samma kommun till Norrköpings stad. Familjen hade aldrig i hemkommunen fallit fattigvården till last, och den redde sig bra i Norrköping i nära två år. Men den sista veckan på »det fattigvårdsfria året» blevo de tilldelade ett understöd, och nu har familjen i nio år varje vinter tilldelats understöd i Norrköping. Kommunen har sammanlagt fått betala ut flera tusen kronor bara till denna familj. Mannen är mantalsskriven i Norrköping och får till denna stad skatta för sina inkomster, samtidigt som den skånska kommunen får betala understöd för hans familj.</w:t>
        <w:br/>
        <w:br/>
        <w:t>Dessa exempel klarlägga, att det finns ett starkt behov av revidering av vår fattigvårdslag beträffande hemortsrättsbestämmelserna. Härom vittnar även det otal av fattigvårdsprocesser, som pågå kommuner emellan.</w:t>
        <w:br/>
        <w:br/>
        <w:t>I den motion jag avlämnat vid årets riksdag yrkas, »att riksdagen måtte i skrivelse till Kungl. Maj:t anhålla om förslag -— om möjligt till innevarande riksdag — rörande sådan ändring av gällande fattigvårdslag, att hemortsrätt skall, oberoende av meddelad fattigvård, åtnjutas i det samhälle, där vederbörande är mantalsskriven», Med denna bestämmelses införande skulle enligt min uppfattning de kommunala fattigvårdsprocesserna upphöra, till fromma icke blott för kommunerna utan även för de stackars människor, som av en eller annan anledning behöva det allmännas hjälp.</w:t>
        <w:br/>
        <w:br/>
        <w:t>Man invänder nu emot denna reform, att kommuner med bättre ordnad fattigvård skulle bli överlupna av människor, som spekulerade i fattigunderstöd</w:t>
        <w:br/>
        <w:br/>
        <w:t>Herr talman! Jag har intet yrkande, men vill uttala den förhoppningen, att det utredningsarbete, som pågår och som andra lagutskottet åberopat, då utskottet hemställer, »att motionen nr 139 i första kammaren icke måtte till någon riksdagens åtgärd föranleda», måtte taga hänsyn till vad motionärerna anfört och att utredningen måtte så bedrivas, att förslag i motionens syfte måtte kunna föreläggas nästa års riksdag.</w:t>
      </w:r>
    </w:p>
    <w:p>
      <w:pPr>
        <w:pStyle w:val="Heading2"/>
      </w:pPr>
      <w:r>
        <w:t>2. Robert Berg (Socialdemokraterna, man)</w:t>
      </w:r>
    </w:p>
    <w:p>
      <w:r>
        <w:rPr>
          <w:b w:val="0"/>
        </w:rPr>
        <w:t>Herr talman! TI utskottets utlåtande i anledning av här föreliggande motion har utskottet endast sett på den ena delen av frågan, men underlåtit att fästa någon uppmärksamhet vid den andra delen. I motionen förekommer nämligen en passus, där det talas om svårigheterna för det avgångna manskapet vid de militära förläggningarna att på förläggningsorten erhålla arbete. Det är ju ett allmänt känt förhållande, att militärstäderna</w:t>
        <w:br/>
        <w:br/>
        <w:t>Jag skall tillåta mig att i detta sammanhang särskilt peka på ett exempel, nämligen Boden. I Boden äro, såvitt jag inte är fel underrättad, förlagda icke mindre än fyra regementen, och från dessa regementen avgår varje höst ett större eller mindre antal uttjänt manskap. Genom den bestämmelse, som nu föreligger 1 fattigvårdsavseende, ha ju dessa personer, därigenom att deras tjänstetid varat tre år, också förvärvat hemortsrätt i förläggningsorten. Då är frågan: vilka möjligheter har det avgångna manskapet i en dylik militärstad att erhålla arbete? :Dessa möjligheter äro enligt min uppfattning synnerligen små, och följden blir givetvis, att vederbörande i stor utsträckning måste falla fattigvården till last.</w:t>
        <w:br/>
        <w:br/>
        <w:t xml:space="preserve">Utskottet säger i sin motivering, att det är lämpligt, att detta manskap får ha sin hemortsrätt i den kommun, där de äro förlagda och till vilken de även betalat sin skatt. Man kunde ju fråga sig, hur stora skattebelopp som under en tjänstgöringstid av i regel tre år vid armén och fyra år vid flottan egentliga hinna inflyta, men jag skall likväl nu fullständigt bortse från den sidan av saken, och 1 stället fästa avseende vid ett annat förhållande. När manskapet avgår, har det, som jag tidigare påpekat, i stor utsträckning inte några arbetsmöjligheter och kommer sålunda att falla fattigvården till last. Vad blir resultatet av detta? Bestämmelserna äro sådana, att även om de sedermera flytta från förläggningsorten, som ju blivit deras hemortskommun, men under första året inte få några försörjningsmöjligheter, utan i den nya kommunen falla fattigvården till last, så bibehålla de sin hemortsrätt i den kommun, varifrån de ha flyttat, d. v. s. från den militära förläggningsorten. Det är uppenbart, att försörjningsplikten för dem kommer att drabba hemortskommunen oerhört hårt. Bestämmelserna gå så långt, att avgånget manskap, som drabbas av arbetslöshet eller dylikt under en lång följd av år, även i fortsättningen bibehålla sin hemortsrätt i den kommun, där de haft sin militäranställning. De gå för övrigt ännu längre: har vederbörande senare ingått äktenskap, falla i fattigvårdsavseende också hans </w:t>
      </w:r>
      <w:r>
        <w:rPr>
          <w:b/>
        </w:rPr>
        <w:t>hustru²</w:t>
      </w:r>
      <w:r>
        <w:rPr>
          <w:b w:val="0"/>
        </w:rPr>
        <w:t xml:space="preserve"> och barn under den kommun, där mannen haft sin militära anställning.</w:t>
        <w:br/>
        <w:br/>
        <w:t>Nu kan det invändas, att detta är något som i regel förekommer även inom andra kommuner, och man skulle ju kunna tänka sig, att en viss reciprocitet förelåg, d. v. s. den ena kommunen drabbas då, den andra då, och att det hela därför skulle jämna ut sig. Men därigenom, att det i militärstäderna är så många, som varje höst lämna tjänsten och i de flesta fall icke inom kort tid få någon möjlighet till försörjning, blir det ett förhållandevis stort antal, som nödgas anlita fattigvården och sålunda drabbas militärstäderna i detta avseende med större styrka än andra kommuner.</w:t>
        <w:br/>
        <w:br/>
        <w:t>Om en yngling kommer till en militärförläggning från ett industrisamhälle, där möjligheterna till arbete äro väsentligt större än i militärstäderna, vore det väl naturligare, att han finge behålla sin hemortsrätt i den kommun, varifrån han kommer, så att han efter den uttjänta tiden vid regementet eller flottan. d. v. s. tre eller fyra år, kunde återvända till sin hemortskommun, där han lättare kan erhålla arbete.</w:t>
        <w:br/>
        <w:br/>
        <w:t>Det är denna sida av saken, som jag huvudsakligen ägnat min uppmärksamhet. Jag har med min motion velat underlätta möjligheterna för det avgångna manskapet vid olika regementen och vid flottan att efter tjänstgöringstiden återvända till hemortskommunen genom att låta dem där bibehålla sin hemortsrätt, och med stöd av denna rätt ge dem .samma möjligheter till arbete,</w:t>
        <w:br/>
        <w:br/>
        <w:t>Ang. krigsmanskapets hemortsrätt i fattigvårdshänseende m. m. (Forts.) som kommunens övriga invånare. Det är nämligen ett allmänt känt förhållande, att sedan arbetslösheten gjort sig gällande i vårt land, ha kommunerna nödgats vidtaga restriktioner i fråga om hjälpverksamheten. Man har inte allenast föreskrivit, att vederbörande skola vara mantalsskrivna för att erhålla hjälp, utan man har också föreskrivit, att de skola ha hemortsrätt, och man har i vissa kommuner gått ännu längre, i det man kräver hemortsrätt under ett visst antal år, innan de av kommunen erhålla hjälp i form av kommunalt eller statskommunalt arbete. Genom dessa restriktioner är det sålunda inte möjligt för en person, som tjänat ut vid ett regemente eller vid flottan, att kunna återvända till sin hemortskommun, ty kommunen håller mycket strängt på att de som ha hemortsrätt, först skola komma i fråga.</w:t>
        <w:br/>
        <w:br/>
        <w:t>Utskottet har inte ansett denna sak vara av det intresse, att den föranlett någon utskottets åtgärd. Emellertid har till utskottets utlåtande fogats en reservation, som avser att Kungl. Maj:t skulle få i uppdrag att utreda frågan. Det har under innevarande års riksdag förelegat olika framställningar 1 fråga om fattigvården. Dessa olika motioner vittna givetvis om, att det inte är som det borde vara i fattigvårdsavseende, vare sig på det ena eller det andra området. Sålunda torde en utredning, ehuru utskottet inte ansett den nödvändig, icke kunna anses alldeles opåkallad, och jag ber därför herr talman, att få yrka bifall till den vid utskottsutlåtandet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739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