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2003</w:t>
      </w:r>
    </w:p>
    <w:p>
      <w:r>
        <w:rPr>
          <w:b/>
        </w:rPr>
        <w:t xml:space="preserve">Datum: </w:t>
      </w:r>
      <w:r>
        <w:t>1934-05-02</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Nils Holmström (–, man)</w:t>
      </w:r>
    </w:p>
    <w:p>
      <w:r>
        <w:rPr>
          <w:b w:val="0"/>
        </w:rPr>
        <w:t xml:space="preserve">Herr talman! Jag är verkligen förvånad över att man kan missförstå detta till den grad, man här har gjort. Jag börjar nästan fundera över om det icke sker under intrycket av att det i dag är andra maj. Så här har jag tänkt mig saken! En fattigvårdsstyrelse begär hemsändande av ett barn. Det blir en massa papper med protokoll från de gjorda undersökningarna o. s. v., vilket allt går till länsstyrelsen, som vid läsandet av detta naturligtvis tar intryck av hur fattigvårdsstyrelsen lagt upp saken. $Sedan gå från länsstyrelsen papperen upp till den högsta myndigheten, som har att pröva saken. När det rör sig om så personliga saker som förhållandet mellan föräldrar och barn, detta ha ju de båda </w:t>
      </w:r>
      <w:r>
        <w:rPr>
          <w:b/>
        </w:rPr>
        <w:t>damerna²</w:t>
      </w:r>
      <w:r>
        <w:rPr>
          <w:b w:val="0"/>
        </w:rPr>
        <w:t xml:space="preserve"> här i debatten särskilt framhållit, så ha vi i utskottet ansett — det är icke alls av artighet mot </w:t>
      </w:r>
      <w:r>
        <w:rPr>
          <w:b/>
        </w:rPr>
        <w:t>damerna²</w:t>
      </w:r>
      <w:r>
        <w:rPr>
          <w:b w:val="0"/>
        </w:rPr>
        <w:t>, som andra lagutskottet, vilket en talare antydde, tillstyrkt saken, utan det har skett på rent sakliga grunder — att det icke bara skall vara papper och papper, som skola läggas till grund för bedömandet och avgörandet av sådana här saker. Vi ha ansett att man måste kräva en person-</w:t>
        <w:br/>
        <w:br/>
        <w:t>lig undersökning. Det är därför, som vi vilja att fattigvårdskonsulenten, som följer förhållandena mera in på livet ute i bygderna och som känner till psyket hos fattigvårdsstyrelserna, skall yttra sig i ärendet. Han känner de olika fattigvårdsstyrelserna. Han reser ut till ort och ställe för att tala med fattigvårdsstyrelserna och med föräldrarna o. s. v. för att därigenom kunna bilda sig en uppfattning, grundad direkt på personlig kontakt med vederbörande. Det är detta, vi vilja ha fram och ingenting annat, allt i överensstämmelse med gällande lag. Herr Hedlund säger, att så förfar man i hans distrikt. Ja, det är ju bra, men vi vilja ha det ordnat på det sättet överallt, så att det personliga kommer till sin rätt.</w:t>
      </w:r>
    </w:p>
    <w:p>
      <w:pPr>
        <w:pStyle w:val="Heading2"/>
      </w:pPr>
      <w:r>
        <w:t>2. Martin Skoglund (–, man)</w:t>
      </w:r>
    </w:p>
    <w:p>
      <w:r>
        <w:rPr>
          <w:b w:val="0"/>
        </w:rPr>
        <w:t xml:space="preserve">Herr förste vice talman! Säkerligen har </w:t>
      </w:r>
      <w:r>
        <w:rPr>
          <w:b/>
        </w:rPr>
        <w:t>fru²</w:t>
      </w:r>
      <w:r>
        <w:rPr>
          <w:b w:val="0"/>
        </w:rPr>
        <w:t xml:space="preserve"> Nordgren med motionen i ämnet haft den allra bästa mening och velat slå vakt om barn, som kunna bli utsatta för mindre lämplig behandling, men den här frågan är emellertid rätt så invecklad och kan ses från olika synpunkter. </w:t>
      </w:r>
      <w:r>
        <w:rPr>
          <w:b/>
        </w:rPr>
        <w:t>Fru²</w:t>
      </w:r>
      <w:r>
        <w:rPr>
          <w:b w:val="0"/>
        </w:rPr>
        <w:t xml:space="preserve"> Nordgren räknar med att det är det värnlösa barnet, som tages ifrån det goda fosterhemmet för att föras till föräldrarna eller någondera av dem, som kanske gift sig och fått ett ganska dåligt hem. Det kan emellertid också hända, att det kan vara så, att ett barn skall föras ifrån ett mindre lämpligt fosterhem för att komma hem till sin </w:t>
      </w:r>
      <w:r>
        <w:rPr>
          <w:b/>
        </w:rPr>
        <w:t>moder²</w:t>
      </w:r>
      <w:r>
        <w:rPr>
          <w:b w:val="0"/>
        </w:rPr>
        <w:t xml:space="preserve">, som gift sig och fått ett rätt så bra hem. </w:t>
      </w:r>
      <w:r>
        <w:rPr>
          <w:b/>
        </w:rPr>
        <w:t>Fru²</w:t>
      </w:r>
      <w:r>
        <w:rPr>
          <w:b w:val="0"/>
        </w:rPr>
        <w:t xml:space="preserve"> Östlund berättade små sannsagor ur livet, och jag skall be att få fortsätta med ett litet exempel.</w:t>
        <w:br/>
        <w:br/>
        <w:t xml:space="preserve">Vid ett tillfälle hade i en kommun, som jag känner till, uppstått en tvist av det slag, som ligger till grund för motionen. Barnets morföräldrar hade fostrat upp barnet, de voro i ganska fattiga omständigheter och så pass gamla att man kunde förundra sig över att de kunde vårda och fostra barnet. Modern hade gift sig och fått ett rätt så bra hem och </w:t>
      </w:r>
      <w:r>
        <w:rPr>
          <w:b/>
        </w:rPr>
        <w:t>hon²</w:t>
      </w:r>
      <w:r>
        <w:rPr>
          <w:b w:val="0"/>
        </w:rPr>
        <w:t xml:space="preserve"> hade icke många barn heller, som voro i vägen. När kommunen icke ville betala understöd längre, vände sig kommunen till modern och </w:t>
      </w:r>
      <w:r>
        <w:rPr>
          <w:b/>
        </w:rPr>
        <w:t>hennes²</w:t>
      </w:r>
      <w:r>
        <w:rPr>
          <w:b w:val="0"/>
        </w:rPr>
        <w:t xml:space="preserve"> man och frågade, huruvida de icke skulle kunna biträda med att betala för barnet. Då sade modern, att </w:t>
      </w:r>
      <w:r>
        <w:rPr>
          <w:b/>
        </w:rPr>
        <w:t>hon²</w:t>
      </w:r>
      <w:r>
        <w:rPr>
          <w:b w:val="0"/>
        </w:rPr>
        <w:t xml:space="preserve"> länge hade tänkt på att taga vårdnaden av barnet själv, och allting talade också för att </w:t>
      </w:r>
      <w:r>
        <w:rPr>
          <w:b/>
        </w:rPr>
        <w:t>hon²</w:t>
      </w:r>
      <w:r>
        <w:rPr>
          <w:b w:val="0"/>
        </w:rPr>
        <w:t xml:space="preserve"> borde kunna få göra det. Men de gamla morföräldrarna sade ifrån, de framhöllo, att de voro fästa vid barnet och ville ha det kvar. Därvidlag kom det, märk väl, också fram ett ekonomiskt intresse, ty det finns ekonomiska intressen i sådana här fall även på annat håll än i kommunerna. De gamla ville ha den där slanten, som de fingo till barnets underhåll varje månad. När ärendet avgjordes av länsstyrelsen, dömde länsstyrelsen att de gamla skulle få ha kvar barnet. Modern fick alltså icke taga hand om detsamma.</w:t>
        <w:br/>
        <w:br/>
        <w:t>Vi skola komma ihåg att det här är ett mycket ömtåligt och svårt område. Här ha länsstyrelserna en förfärligt svår uppgift. Det gäller många gånger att välja mellan släktingarna och modern, och det är icke så förfärligt enkelt att på rak arm säga att så och så skall det vara. När ett sådant ärende hänvisas till fattigvårdskonsulenten har han också, tror jag, en mycket svår uppgift, när det gäller att döma i ena eller andra riktningen. Min uppfattning är att länsstyrelserna och även barnavårdsmyndigheterna och de konsulenter, som tillfrågas, gå fram med mycket stor varsamhet, så att vi ej behöva avlåta en särskild skrivelse för att ytterligare påminna dem om den saken.</w:t>
        <w:br/>
        <w:br/>
        <w:t xml:space="preserve">Jag giver </w:t>
      </w:r>
      <w:r>
        <w:rPr>
          <w:b/>
        </w:rPr>
        <w:t>fru²</w:t>
      </w:r>
      <w:r>
        <w:rPr>
          <w:b w:val="0"/>
        </w:rPr>
        <w:t xml:space="preserve"> Nordgren rätt däri att detta är ett ömtåligt område och att man i dessa frågor skall visa all möjlig humanitet, men om vi komma fram till något bättre med sådana åtgärder som utskottet här föreslagit tror jag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2003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