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2056</w:t>
      </w:r>
    </w:p>
    <w:p>
      <w:r>
        <w:rPr>
          <w:b/>
        </w:rPr>
        <w:t xml:space="preserve">Datum: </w:t>
      </w:r>
      <w:r>
        <w:t>1936-03-17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Lindberg (Socialdemokraterna, man)</w:t>
      </w:r>
    </w:p>
    <w:p>
      <w:r>
        <w:rPr>
          <w:b w:val="0"/>
        </w:rPr>
        <w:t>Herr talman! Jag hade icke väntat mig, att herr Ström skulle taga upp någon debatt om denna motion, alldenstund utskottet varit enhälligt och undertecknad såsom motionär ansett mig kunna gå med att yrka avslag på motionen. Anledningen därtill är i korthet bara den, att man utan att göra någon författningsändring har uppnått precis samma resultat, som man avsett att nå med en författningsändring. Tillåt mig läsa upp paragrafen sådan den är återgiven i utskottets utlåtande: »Har fartyg, som inkommit till tullområdet, anlänt till ort därinom, må, intill dess fartyget hunnit där undergå invisitation, personlig förbindelse från eller till fartyget icke utan tulltjänstemans medgivande äga rum i vidare mån än som betingas av offentlig myndighets åtgärder. För upprätthållande av detta förbud svarar fartygets befälhavare.» När man nu från tullmyndigheternas sida har gått med på att tolka denna bestämmelse på det sätt, att tulltjänstemännen skola äga visitera, innan fartyget såsom sådant är invisiterat, och då det är generaltullstyrelsens avsikt att sända ut cirkulär till tullstationerna om den saken, behöver givetvis icke författningen ändras. Författningen är också skriven så, att det redan tidigare gått för sig att ordna den saken, och för långt tillbaka var det sällan eller aldrig tvist om dessa fall.</w:t>
        <w:br/>
        <w:br/>
        <w:t>Eftersom jag har ordet och eftersom jag fått mig tillsända några handlingar från Norrköpings rådhusrätt i ett mål rörande att två personer gått i land utan tillstånd av tullmyndigheten, skall jag be att få meddela något om det fallet. Generaltullstyrelsen anser, att det fallet varit orsaken till att motionen väckts. Jag kan, innan jag går in på målet i Norrköping, säga, att det är icke det fallet, som ligger till grund för motionen, utan flera, om icke direkt liknande, sådana fall. Här i Stockholm har exempelvis förekommit, att besättningsmännen själva fått skjuta tillsammans det belopp, som invisiteringen skulle kosta, och i Malmö har det inträffat, att besättningsmännen förbjudits att gå i land, när fartyget ankommit på en söndag, på söndagen eller söndagsnatten, utan först på måndagen, sedan fartyget blivit invisiterat, har det medgivits dem att gå i land. I Malmö hände det, att ett fartyg avgick redan på tisdagens förmiddag och att följaktligen landpermission endast kunde beviljas en</w:t>
        <w:br/>
        <w:br/>
        <w:t>besättning. (Forts.) enda gång, och som bekant får icke hela besättningen på ett fartyg lämna fartyget, när det är i hamn. Det är sådana runt kusten förekommande fall, som gjort, att jag väckt motionen, och det framhölls även vid uppvaktningen inför generaltullstyrelsen.</w:t>
        <w:br/>
        <w:br/>
        <w:t xml:space="preserve">Det fall från Norrköping, som generaltullstyrelsen åsyftar, är ganska upprörande i sitt slag, och jag skall tillåta mig att ur protokollet från rådhusrätten läsa upp följande: »Vid det i målet ifrågakomna tillfället kom min </w:t>
      </w:r>
      <w:r>
        <w:rPr>
          <w:b/>
        </w:rPr>
        <w:t>hustru²</w:t>
      </w:r>
      <w:r>
        <w:rPr>
          <w:b w:val="0"/>
        </w:rPr>
        <w:t xml:space="preserve">» — det är styrmannen, som blev dömd, som säger detta — »ned till kajen och meddelade, att vår minderårige son låg svårt sjuk. Han hade haft häftigt örsprång, trumhinnorna hade trepanerats, och han hade för tillfället hög feber. Han hade behandlats av doktor Carlén i Jönköping, varifrån min </w:t>
      </w:r>
      <w:r>
        <w:rPr>
          <w:b/>
        </w:rPr>
        <w:t>hustru²</w:t>
      </w:r>
      <w:r>
        <w:rPr>
          <w:b w:val="0"/>
        </w:rPr>
        <w:t xml:space="preserve"> kommit för att sammanträffa med mig. Min </w:t>
      </w:r>
      <w:r>
        <w:rPr>
          <w:b/>
        </w:rPr>
        <w:t>hustru²</w:t>
      </w:r>
      <w:r>
        <w:rPr>
          <w:b w:val="0"/>
        </w:rPr>
        <w:t xml:space="preserve"> stod som nämnt på kajen men måste snart återvända i det </w:t>
      </w:r>
      <w:r>
        <w:rPr>
          <w:b/>
        </w:rPr>
        <w:t>hon²</w:t>
      </w:r>
      <w:r>
        <w:rPr>
          <w:b w:val="0"/>
        </w:rPr>
        <w:t xml:space="preserve"> icke kunde lämna vår sjuke son ensam.» Då frågade styrmannen tulltjänstemannen, om han kunde få gå i land. Tulltjänstemannen svarade nej, men </w:t>
      </w:r>
      <w:r>
        <w:rPr>
          <w:b/>
        </w:rPr>
        <w:t>hustrun²</w:t>
      </w:r>
      <w:r>
        <w:rPr>
          <w:b w:val="0"/>
        </w:rPr>
        <w:t xml:space="preserve"> skulle få komma ombord under förutsättning att </w:t>
      </w:r>
      <w:r>
        <w:rPr>
          <w:b/>
        </w:rPr>
        <w:t>hon²</w:t>
      </w:r>
      <w:r>
        <w:rPr>
          <w:b w:val="0"/>
        </w:rPr>
        <w:t xml:space="preserve"> stannade till dess att fartyget var invisiterat. Det kunde </w:t>
      </w:r>
      <w:r>
        <w:rPr>
          <w:b/>
        </w:rPr>
        <w:t>hon²</w:t>
      </w:r>
      <w:r>
        <w:rPr>
          <w:b w:val="0"/>
        </w:rPr>
        <w:t xml:space="preserve"> icke göra, utan </w:t>
      </w:r>
      <w:r>
        <w:rPr>
          <w:b/>
        </w:rPr>
        <w:t>hon²</w:t>
      </w:r>
      <w:r>
        <w:rPr>
          <w:b w:val="0"/>
        </w:rPr>
        <w:t xml:space="preserve"> måste återvända till det sjuka barnet. Sedan bad styrmannen tulltjänstemannen att visitera honom, vilket tullmannen nekade att göra, varpå styrmåannen gick i land på eget ansvar och på egen risk. Han blev också av rådhusrätten dömd till böter för att han gått i land utan tillstånd. Nu är det så att sjömanslagen föreskriver, att befälhavare icke må vägra sjöman att under fritid gå i land, om icke vissa skäl tala för att sjömannen skall vara kvar ombord. Dessa skäl äro uppräknade i sjömanslagen. Jag hade icke tillgång till dessa papper, när saken var före i utskottet, annars hade jag omnämnt fallet redan där.</w:t>
        <w:br/>
        <w:br/>
        <w:t>När det nu har utlovats, att man på annan väg än genom författningsändring skall rätta till missförhållandet, har jag, herr talman, icke annat yrkande än om bifall till utskottets hemställan.</w:t>
      </w:r>
    </w:p>
    <w:p>
      <w:pPr>
        <w:pStyle w:val="Heading2"/>
      </w:pPr>
      <w:r>
        <w:t>2. Albin Ström (–, man)</w:t>
      </w:r>
    </w:p>
    <w:p>
      <w:r>
        <w:rPr>
          <w:b w:val="0"/>
        </w:rPr>
        <w:t xml:space="preserve">Herr talman! Utskottets äratle ordförande konstaterade, att utskottet varit välvilligt inställt till motionen. Men jag kan inte förstå, vari den »välviljan» ligger, när man kan citera en sådan passus ur utskottets motivering som den jag nyss citerade, nämligen att det icke föreligger någon ovillkorlig rätt för fartygsbesättning att gå i land. Jag måste konstatera, att det är ett uttalande, som man icke hade väntat från utskottets sida, framför allt icke från dess arbetarrepresentanters sida. Här har man ändå kunnat slå fast, att man måste betrakta det som en ovillkorlig rätt, när de efter flera månaders arbete ute på havet äntligen komma i hamn. Det var ett mycket belysande exempel, som herr Lindberg anförde. Jag kan endast behöva hänvisa till detta upprörande fall, att en sjöman icke får gå ned på kajen för att träffa sin </w:t>
      </w:r>
      <w:r>
        <w:rPr>
          <w:b/>
        </w:rPr>
        <w:t>hustru²</w:t>
      </w:r>
      <w:r>
        <w:rPr>
          <w:b w:val="0"/>
        </w:rPr>
        <w:t>, som får gå och vänta där, till dess att tulltjänstemännen invisiterat fartyget. |</w:t>
        <w:br/>
        <w:br/>
        <w:t>Nu säger man, att det har utlovats förbättring. Ja, men bestämmelserna kvarstå, och bestämmelserna är det, som sjömännen vända sig emot, då de kräva en förändring. Att dessa bestämmelser tillämpats lika rigoröst tidigare och att det varit missförhållanden framgick av herr Lindbergs anförande. På den tid jag for till sjöss — det är nu tjugu år sedan — kunde man konstatera detsamma. Icke har man således på den punkten varit så noga med att tillfredsställa sjöfolkets krav.</w:t>
        <w:br/>
        <w:br/>
        <w:t>Vad det här gäller, är naturligtvis i första hand att få bort detta förbud, därför att det inte behöves. Ingen från utskottets sida har kunnat påvisa nödvändigheten, ja, inte ens önskvärdheten av ett sådant förbud. Och när det</w:t>
        <w:br/>
        <w:br/>
        <w:t>Jag förmodar, att motionären, när han krävde upphävandet av förbudet, avsåg att få igenom det yrkande han framställt i motionen. I varje fall har sjöfolket sådan önskan. Det har jag kunnat konstatera, när vi vid sammanträden haft överläggningar om dessa frågor. Och även om utskottet och motionären falla ifrån dessa rättvisa, sunda och riktiga krav, har inte sjöfolket gjort det, och det är därför som jag har den uppfattningen, att man bör vidtaga de förändringar, som ensamt kunna tjäna till en förbättring i dessa förhållanden, när det inte finnes ett enda skäl för bibehållande av det ifrågavarande förbudet. Jag vill fråga herr Andersson i Malmö, om han kan anföra ett enda skäl för bibehållande av detta förbud.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2056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