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2069</w:t>
      </w:r>
    </w:p>
    <w:p>
      <w:r>
        <w:rPr>
          <w:b/>
        </w:rPr>
        <w:t xml:space="preserve">Datum: </w:t>
      </w:r>
      <w:r>
        <w:t>1936-05-19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Josef Weijne (Socialdemokraterna, man)</w:t>
      </w:r>
    </w:p>
    <w:p>
      <w:r>
        <w:rPr>
          <w:b w:val="0"/>
        </w:rPr>
        <w:t>e provtalare, och han tyckte inte det var någon lysande situation att ha blivit det. Jag har sett på talarlistan och jag får säga, att om oppositionen här i kammaren hade fått välja, är det uppenbart, efter den ordningsföljd, i vilken talesmännen för utskottsmajoriteten kommit, att han fått de flesta rösterna från oppositionen. Han har alltså blivit kallad till 4:e provpredikant därför att han praktiskt sett känner denna fråga bättre än andra.</w:t>
        <w:br/>
        <w:br/>
        <w:t>Om de åsikter, han framfört i sin motion, blivit verkligt effektivt utformade 1 utskottets förslag, kan det hända, att det inte varit så många meningar här i kammaren i dag, men man ville inte vara med om att göra de uppmjukningar, som han i sin motion föreslagit.</w:t>
        <w:br/>
        <w:br/>
        <w:t>I detta sammanhang vill jag också understryka, vad han sade i slutet av sitt anförande, nämligen att under de och de förutsättningarna blir förslaget i</w:t>
        <w:br/>
        <w:br/>
        <w:t xml:space="preserve">Ang. obligatorisk sjuårig folkskola m. m. (Forts.) dag ett lyckligt beslut. Jag skulle vilja understryka detta, eftersom han var tveksam och gjorde vissa förbehåll, och uttalar den förhoppningen, att dessa också bli uppmärksammade av vederbörande myndigheter. Jag gör detta så mycket mera som även en annan lärarrepresentant här i kammaren, </w:t>
      </w:r>
      <w:r>
        <w:rPr>
          <w:b/>
        </w:rPr>
        <w:t>fru²</w:t>
      </w:r>
      <w:r>
        <w:rPr>
          <w:b w:val="0"/>
        </w:rPr>
        <w:t xml:space="preserve"> Eklund, också underströk, att det var stora kategorier lärare, som hysa en viss oro angående möjligheten att genomföra ett 7:e skolår så att det blir något verkligt resultat.</w:t>
        <w:br/>
        <w:br/>
        <w:t>Jag fäster särskilt avseende vid dessa vittnesmål, därför att jag måste beteckna dem såsom mera tungt vägande än dem, som avgivits av andra talare, som sett frågan så att säga ifrån högre utsiktspunkter och inte ha den erfarenhet, som de av mig omnämnda talarna ha.</w:t>
        <w:br/>
        <w:br/>
        <w:t>Då jag nu inte anser mig böra på något sätt taga tillbaka mitt yrkande utan vill understryka, vad jag förut sagt, vill jag bara nämna en sak till, som yttrades av herr Weijne. Han nämnde B 2-skolorna och svårigheten att undervisa i 5 klasser. Han hade fem års erfarenhet, och det hade gått bra för hans del. Om vi hade garantier för att alla lärare kunde sköta undervisningen med lika stor intensitet och skicklighet som han, skulle till och med jag vara nöjd med den 7-åriga folkskolan, men jag är övertygad om, att det blir endast en liten procent av Sveriges lärarkår — den må vara än så dugande — som fyller måttet, och att intensifiera undervisningen kommer att överstiga vederbörandes förmåga. Därför tvivlar jag på, att resultatet blir vad man här åsyftat.</w:t>
        <w:br/>
        <w:br/>
        <w:t>Herr talman. Jag vidhåller mitt yrkande.</w:t>
      </w:r>
    </w:p>
    <w:p>
      <w:pPr>
        <w:pStyle w:val="Heading2"/>
      </w:pPr>
      <w:r>
        <w:t>2. Georg Nyblom (Bondeförbundet, man)</w:t>
      </w:r>
    </w:p>
    <w:p>
      <w:r>
        <w:rPr>
          <w:b w:val="0"/>
        </w:rPr>
        <w:t xml:space="preserve">Herr talman! Det var ett yttrande i debatten. som alldeles särskilt fastnade i mitt minne, och det var, då </w:t>
      </w:r>
      <w:r>
        <w:rPr>
          <w:b/>
        </w:rPr>
        <w:t>fru²</w:t>
      </w:r>
      <w:r>
        <w:rPr>
          <w:b w:val="0"/>
        </w:rPr>
        <w:t xml:space="preserve"> Eklund sade, att det var problematiskt, om man kunde införa det 7:e skolåret med nuvarande skolformer.</w:t>
        <w:br/>
        <w:br/>
        <w:t xml:space="preserve">Jag tror, att </w:t>
      </w:r>
      <w:r>
        <w:rPr>
          <w:b/>
        </w:rPr>
        <w:t>fru²</w:t>
      </w:r>
      <w:r>
        <w:rPr>
          <w:b w:val="0"/>
        </w:rPr>
        <w:t xml:space="preserve"> Eklund där satte fingret på den verkligt ömma punkten i det reformförslag, som föreligger. Jag har den uppfattningen, att man med nuvarande skolformer icke kan göra det 7:e skolåret effektivt, utan att detta 7:e skolår kommer att påskynda för att inte säga framtvinga högre skolformer i de kommuner, som nu ha lägre. Detta kommer givetvis att medföra rätt allvarliga ekonomiska konsekvenser, med vilka man idag icke kalkylerat på ett sådant sätt, att vi med säkerhet kunna säga, huru dessa ekonomiska konsekvenser se ut. Den kalkyl, som återfinnes i utskottets utlåtande, är således otillräcklig i detta avseende. I varje fall kan man nog med säkerhet förutspå, att denna reform kommer att för riksdagen och kommunerna inom de närmaste 15—20 åren medföra presenterandet av rätt betydande räkningar, som det då gäller för riksdagen och kommunerna att betala.</w:t>
        <w:br/>
        <w:br/>
        <w:t>Jag vill, herr talman, till detta endast foga den lilla anmärkningen, att jag icke kan dela statsrådet Engbergs uppfattning om att den allvarligaste bristen i vårt nuvarande skolväsende skulle ligga däri, att undervisningstiden är för kort för att medgiva ett ordentligt inhämtande av de färdigheter och kunskaper, som innehållas i 1919 års undervisningsplan. Jag tror i stället, att den verkliga och allvarliga bristen i det nuvarande skolsystemet ligger just i den oformliga undervisningsplanen och att en revision av denna plan skulle vara mera betydelsefull än en utökning av skoltiden. Det är därför, som jag också ansluter mig till den reservation, som begär en dylik revision, nämligen herr Nilssons i Gränebo m. fl. reservation.</w:t>
        <w:br/>
        <w:br/>
        <w:t>Jag vill slutligen mera i förbigående säga, att det förvånar mig, att herr statsrådet här åberopat sig på den cederbladska undersökningen, ty det är väl numera en allmän mening inom de kretsar, som fackmässigt bedöma sådana undersökningar, att den cederbladska undersökningen i vissa delar har ett mycket</w:t>
        <w:br/>
        <w:br/>
        <w:t>Med dessa små anmärkningar, herr talman, ber Jag att få yrka bifall till herr Nilssons i Gränebo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