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778</w:t>
      </w:r>
    </w:p>
    <w:p>
      <w:r>
        <w:rPr>
          <w:b/>
        </w:rPr>
        <w:t xml:space="preserve">Datum: </w:t>
      </w:r>
      <w:r>
        <w:t>1936-05-27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Trygger (Högerns riksdagsgrupp, man)</w:t>
      </w:r>
    </w:p>
    <w:p>
      <w:r>
        <w:rPr>
          <w:b w:val="0"/>
        </w:rPr>
        <w:t>Herr talman! I en monarki utgör successionsordningen en verkligt betydelsefull länk i den kedja av grundlagar, som omspänner och skyddar landets och dess medborgares välfärd. Monarken och hans familj intaga en ställning, som medför alldeles särskilda förpliktelser. Den, som en dag bestiger tronen, måste ha sitt ideal i vår störste konungs gripande bekännelse, att han ingen annan skatt sökt hade än att göra tillfyllest sitt stånds plikt, däruti honom Gud hade låtit födas. Och även för övriga medlemmar av konungafamiljen gälla i flera avseenden andra levnadsregler än för medborgare i allmänhet. Det är denna pliktkänsla eller, rättare sagt, offerkänsla, som bär upp det monarkiska statsskicket. Det bör därföre vara successionsordningens uppgift att genom begränsande bestämmelser ge en regerande konung ett verksamt stöd i hans naturliga strävan att inom sin familj upprätthålla vissa oeftergivliga statens krav även i sådana fall, då ingen skulle ifrågasätta den enskildes handlingsfrihet.</w:t>
        <w:br/>
        <w:br/>
        <w:t xml:space="preserve">Det förslag till ändrad lydelse av bland annat $ 5 successionsordningen, som Kungl. Maj:t den 8 innevarande maj framlagt för riksdagen, innebär, att Konungen är oförhindrad att ge sitt samtycke till att prins tager till gemål enskild utländsk mans </w:t>
      </w:r>
      <w:r>
        <w:rPr>
          <w:b/>
        </w:rPr>
        <w:t>dotter²</w:t>
      </w:r>
      <w:r>
        <w:rPr>
          <w:b w:val="0"/>
        </w:rPr>
        <w:t>. Ett dylikt stadgande utgör ett väsentligt åsidosättande av successionsordningens av mig antydda uppgift. Då konstitutionsutskottet emellertid icke hyst några betänkligheter mot att tillstyrka den föreslagna grundlagsändringen, vore det meningslöst och måhända skadligt att från min sida framställa och närmare utveckla ett avslagsyrkande. Jag anser det dock vara min plikt att, om möjligt till främjande av varsamhet vid tilllämpningen av det uppluckrade grundlagsbudet, vid detta tillfälle uttryckligen förklara, att det, såvitt jag förstår, varit till rikets bästa, om man avstått från tanken på en grundlagsändring, sådan som den nu föreslagna.</w:t>
      </w:r>
    </w:p>
    <w:p>
      <w:pPr>
        <w:pStyle w:val="Heading2"/>
      </w:pPr>
      <w:r>
        <w:t>2. Carl Lindhagen (–, man)</w:t>
      </w:r>
    </w:p>
    <w:p>
      <w:r>
        <w:rPr>
          <w:b w:val="0"/>
        </w:rPr>
        <w:t>Herr talman! Denna proposition har ju framlagts för att underlätta för prinsarna att gifta sig, och det är väl för dem en huvudsaklig angelägenhet. Reformen är också tidsenlig i våra dagar, sedan en mängd regerande furstefamiljer ramlat från sina säten och blivit privatpersoner. .</w:t>
        <w:br/>
        <w:br/>
        <w:t xml:space="preserve">Men jag har en motsatt betänklighet mot den herr Trygger uttryckte. Herr Trygger menade, att man skulle se till, att ingen enskild fick makt i regeringen genom ett sådant giftermål. Jag menar, att skola prinsar tillåtas att gilta sig med dem de tycka om, är det väl en kolossal lucka i den här propositionen, att den inte medgiver dem att ännu hellre gifta sig med enskilda svenska </w:t>
      </w:r>
      <w:r>
        <w:rPr>
          <w:b/>
        </w:rPr>
        <w:t>flickor²</w:t>
      </w:r>
      <w:r>
        <w:rPr>
          <w:b w:val="0"/>
        </w:rPr>
        <w:t xml:space="preserve"> än med utländska. Ty de förra ha de ju närmast att bli kära i, eftersom de mest umgås med sådana. Därför har det mänskliga innehållet i propositionen sålunda satt krokben för sig själv.</w:t>
        <w:br/>
        <w:br/>
        <w:t>Vad nu beträffar herr Tryggers betänkligheter var det visserligen så under Gustav Vasas och hans söners tid, att om furstarna gifte sig med högadliga damer, fingo deras släkter ett besvärligt inflytande på rikets styrelse. Men</w:t>
        <w:br/>
        <w:br/>
        <w:t xml:space="preserve">Jag skulle därför ha velat yrka, att det i propositionen föreslagna medgivandet utsträcktes till den kategori av </w:t>
      </w:r>
      <w:r>
        <w:rPr>
          <w:b/>
        </w:rPr>
        <w:t>flickor²</w:t>
      </w:r>
      <w:r>
        <w:rPr>
          <w:b w:val="0"/>
        </w:rPr>
        <w:t xml:space="preserve">, i vilka prinsar kunna bli mest förälskade, som jag nyss sagt. Men, herr talman, jag har inte kommit mig för att väcka en motion därom, trots att jag två gånger höll på att göra det. Vilja vi nu spela medeltid för en stund och fröjda oss åt de gamla förflutna tiderna, få vi ju nu göra det i all synnerhet med den enhälliga vakthållningen just kring denna proposition. En annan gång må vi se till, att detta medgivande utsträckes även till svenska </w:t>
      </w:r>
      <w:r>
        <w:rPr>
          <w:b/>
        </w:rPr>
        <w:t>kvinnor¹</w:t>
      </w:r>
      <w:r>
        <w:rPr>
          <w:b w:val="0"/>
        </w:rPr>
        <w:t>. Då kan jag inte svara för, att ej en motion ifrån min sida också kommer till synes.</w:t>
        <w:br/>
        <w:br/>
        <w:t>Med dessa erinringar har jag intet yrkande att framställa.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