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2080</w:t>
      </w:r>
    </w:p>
    <w:p>
      <w:r>
        <w:rPr>
          <w:b/>
        </w:rPr>
        <w:t xml:space="preserve">Datum: </w:t>
      </w:r>
      <w:r>
        <w:t>1936-06-16</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Conrad Carleson (–, man)</w:t>
      </w:r>
    </w:p>
    <w:p>
      <w:r>
        <w:rPr>
          <w:b w:val="0"/>
        </w:rPr>
        <w:t>Herr talman! Med de förslag, som föreligga i bankoutskottets utlåtande nr 75, har en synnerligen viktig fråga funnit sin lösning, försåvitt riksdagen nu godkänner utskottets förslag. Dessa förslag gå som bekant ut på att ordna familjepensioneringen för efterlevande till befattningshavare och arbetare 1 statens tjänst. Det är således här fråga om en pension, som skall utgå till efterlevande änkor, respektive änklingar, och barn.</w:t>
        <w:br/>
        <w:br/>
        <w:t>Det förefaller mig, som om man i det föreliggande förslaget på ett lämpligt sätt delat upp kostnaderna för familjepensioneringen mellan den enskilde befattningshavaren eller arbetaren å ena sidan samt staten å andra sidan. Om det därför här endast gällde att ordna pensionsfrågan för de grupper, som i vanlig ordning börja erlägga avgifter för sin familjepensionering från och med den dag, då de av riksdagen eventuellt antagna pensionsreglementena trädde i kraft, skulle jag inte ha någon erinran att göra mot de här föreliggande förslagen. När det gäller att ordna familjepensioneringen för så stora grupper, som det här är fråga om, kan man emellertid inte stanna vid att blott tänka på dem, som från och med nu komma att betala pensionsavgifter till det belopp, som staten fordrar. Vi måste nämligen också tänka på den stora massan anställda, som inte ha betalt fullt ut så mycket, som staten fordrar för att de skola kunna få de familjepensioner, som staten nu räknar med, och vidare måste vi tänka på dem, som överhuvud taget inte alls ha betalt några avgifter för att få denna pension. Vi kunna inte komma ifrån, att vi på något sätt måste ordna saken även för dessa kategorier, och det är därför helt naturligt, att Kungl. Maj:t gått in för en väg, som skulle leda fram till en familjepensionering även för dessa grupper. De föreslagna bestämmelserna återfinnas, vad angår be-</w:t>
        <w:br/>
        <w:br/>
        <w:t>Med vad jag här anfört har jag velat framhålla, att jag i stort sett ingenting har att invända mot de bestämmelser, som enligt förslagen skola tillämpas för familjepensioneringen. Mina anmärkningar rikta sig mot de övergångsbestämmelser, som skola gälla för de redan i statens tjänst anställda, i den mån dessa icke inbetalt tillräckliga avgifter eller kanske icke några avgifter alls. Jag skulle kanske ej heller på denna punkt ha gjort någon anmärkning, försåvitt den ekonomiska utredningen varit fullständig. Som herrarna funnit av bankoutskottets utlåtande är emellertid detta ingalunda förhållandet.</w:t>
        <w:br/>
        <w:br/>
        <w:t xml:space="preserve">Man kan säga, att övergångsbestämmelserna sönderfalla i två olika grupper. Först ha vi övergångsbestämmelserna för de kassor, som redan finnas för vissa grupper av i statens tjänst anställda och inom vilka man ordnat med familjepensionering efter tidigare fastställda grunder. Enligt det här föreliggande förslaget är det meningen, att staten skall lyfta upp och förbättra de pensioner, som utgå från dessa kassor. Detta skall ordnas på det sättet att staten övertar kassornas fonder och garanterar medlemmarna de pensioner, som finnas upptagna i det föreliggande pensionsreglementet. Det allmänna familjepensionsreglementet skall alltså tillämpas för alla till dessa kassor anslutna, i den mån staten träffar överenskommelse med kassorna. De överenskommelser, som här föreslås, gå ut på att staten som sagt skall överta kassornas tillgångar i den mån detta blir behövligt för att därmed täcka statens utgifter för de pensioner, som enligt kassornas stadgar skola utgå. Staten har redan preliminärt träffat sådana överenskommelser med tre kassor, nämligen med civilstatens, telegrafverkets och statens järnvägars </w:t>
      </w:r>
      <w:r>
        <w:rPr>
          <w:b/>
        </w:rPr>
        <w:t>änkeoch²</w:t>
      </w:r>
      <w:r>
        <w:rPr>
          <w:b w:val="0"/>
        </w:rPr>
        <w:t xml:space="preserve"> pupillkassor.</w:t>
        <w:br/>
        <w:br/>
        <w:t xml:space="preserve">Nu visar det sig emellertid, om jag först tar civilstatens </w:t>
      </w:r>
      <w:r>
        <w:rPr>
          <w:b/>
        </w:rPr>
        <w:t>änkeoch²</w:t>
      </w:r>
      <w:r>
        <w:rPr>
          <w:b w:val="0"/>
        </w:rPr>
        <w:t xml:space="preserve"> pupillkassa, att denna enligt propositionen nr 245 visar en brist på c:a 6 miljoner kronor. Denna brist kommer att ökas med ytterligare 1.5 miljoner kronor på grund av att medlemmarna enligt de nya bestämmelserna inte skola erlägga pensionsavgifter till dess de fylla 67 år utan endast till dess de ingå i pensionsåldern, vilket man ju i och för sig inte kan ha något att invända emot. Det blir emellertid härigenom ett kapitaliserat värde på 1.5 miljoner kronor, som staten i en eller annan form får betala. I fråga om civilstatens </w:t>
      </w:r>
      <w:r>
        <w:rPr>
          <w:b/>
        </w:rPr>
        <w:t>änkeoch²</w:t>
      </w:r>
      <w:r>
        <w:rPr>
          <w:b w:val="0"/>
        </w:rPr>
        <w:t xml:space="preserve"> pupillkassa föreligger det alltså en sammanlagd brist på 7.5 miljoner kronor, som staten kommer att få betala. Detta betyder ju ingalunda, att dessa 7.5 miljoner skola utgå inom de allra närmaste åren, ty såsom herrarna förstå är det här fråga om ett försäkringstekniskt värde, som successivt i framtiden måste betalas. Den otillräckliga utredningen ger emellertid ingen upplysning om när dessa belopp skola utgå.</w:t>
        <w:br/>
        <w:br/>
        <w:t xml:space="preserve">Även inom statens järnvägars </w:t>
      </w:r>
      <w:r>
        <w:rPr>
          <w:b/>
        </w:rPr>
        <w:t>änkeoch²</w:t>
      </w:r>
      <w:r>
        <w:rPr>
          <w:b w:val="0"/>
        </w:rPr>
        <w:t xml:space="preserve"> pupillkassa föreligger en brist. Jag måste emellertid erkänna, att den bristen uppkommit genom statens eget förvållande. Bristen beräknas i det föreliggande utlåtandet till 1.5 miljoner, men inom ledningen för statens järnvägars </w:t>
      </w:r>
      <w:r>
        <w:rPr>
          <w:b/>
        </w:rPr>
        <w:t>änkeoch²</w:t>
      </w:r>
      <w:r>
        <w:rPr>
          <w:b w:val="0"/>
        </w:rPr>
        <w:t xml:space="preserve"> pupillkassa finns det många som anse, att staten egentligen borde betala ett mycket större belopp. Faktum är dock, att även i denna kassa föreligger en brist, som staten kommer att få betala. Nu förryckas emellertid alla resonemang om hur vi skola betala dessa belopp även på den grund att riksdagen på Kungl. Maj:ts förslag slutat upp med att fondera inflytande pensionsavgifter för egenpensionering, något som man åtminstone preliminärt ansett böra göras även i fråga om familjepensioneringen. Riksdagen har sålunda beslutat att ta av de årligen inflytande pensionsavgifterna för egenpensionering och med dem bestrida kostnaderna för de utgående pensionerna oavsett om man rent försäkringstekniskt bort fondera en större eller mindre del av avgifterna. När samma förfarande tillämpas</w:t>
        <w:br/>
        <w:br/>
        <w:t xml:space="preserve">De belopp, varom jag här förut talat, återfinnas i Kungl. Maj:ts propositioner nr 201, 245 och 258. De två sista propositionerna avse fastställande av överenskommelser med de tre här omnämnda </w:t>
      </w:r>
      <w:r>
        <w:rPr>
          <w:b/>
        </w:rPr>
        <w:t>änkeoch²</w:t>
      </w:r>
      <w:r>
        <w:rPr>
          <w:b w:val="0"/>
        </w:rPr>
        <w:t xml:space="preserve"> pupillkassorna. Utöver dessa tre kassor ha vi emellertid några större kassor, med vilka överenskommelse avses att träffas före nästa års riksdag. Det är tullverkets pensionsinrättning, arméns nya </w:t>
      </w:r>
      <w:r>
        <w:rPr>
          <w:b/>
        </w:rPr>
        <w:t>änkeoch²</w:t>
      </w:r>
      <w:r>
        <w:rPr>
          <w:b w:val="0"/>
        </w:rPr>
        <w:t xml:space="preserve"> pupillkassa och flottans pensionskassa. Dessa kassor omfatta, om jag inte minns fel, ungefär 14,000 medlemmar. Man måste alltså även räkna med möjligheten, att det, när staten övertar dessa kassor och gentemot deras medlemmar ikläder sig pensionsskyldighet enligt de nya bestämmelserna, även här kommer att förefinnas en brist, som staten måste betala. Med tanke på vad som är konstaterat beträffande civilstatens </w:t>
      </w:r>
      <w:r>
        <w:rPr>
          <w:b/>
        </w:rPr>
        <w:t>änkeoch²</w:t>
      </w:r>
      <w:r>
        <w:rPr>
          <w:b w:val="0"/>
        </w:rPr>
        <w:t xml:space="preserve"> pupillkassa synes det mig, att man borde ha företagit en utredning beträffande samtliga kassors ställning, innan man överhuvud taget träffade slutliga överenskommelser med någon som helst kassa.</w:t>
        <w:br/>
        <w:br/>
        <w:t>Sedan kommer jag över till den brist på utredning, som förefinnes på annat håll och som är mycket mera anmärkningsvärd. Hittills har jag talat om befattningshavare, som redan äro anslutna till kassor och som alltså redan ha en viss rätt till familjepension. Nu kommer jag över till dem, som icke alls ha någon rätt till familjepension, då de icke betalt några som helst avgifter för en dylik pensionering. Till denna grupp höra de extra-ordinarie befattningshavare, som falla under det ena av dessa reglementen, nämligen allmänna familjepensionsreglementet, och statens arbetare, som falla under familjepensionsreglementet för arbetare. Beträffande dessa grupper går Kungl. Maj:ts förslag genom innehållet i övergångsstadgandena ut på att vederbörande extraordinarie och arbetare skola få tillgodoräkna sig alla tjänstår, som de haft, alldeles bortsett från att de icke ha betalt några som helst avgifter. Inom bankoutskottet frågade man sig då, hur stora de kostnader skulle bli, som staten måste ikläda sig utom dem som följa med övertagandet av kassorna. Eftersom det inte fanns någon annan uppgift härom i Kungl. Maj:ts förslag än att övergången var förenad med en del kostnader, beslöt utskottet att tillkalla den expert, som hjälpt finansdepartementet med dess beräkningar, nämligen byråchefen Tim Jansson i försäkringsinspektionen, och låta honom verkställa en utredning angående nämnda kostnader. Denna utredning visade, att staten enligt de föreslagna övergångsbestämmelserna måste ikläda sig ett ansvarsbelopp, som för de extra-ordinarie skall uppgå till cirka 7,300,000 kronor och för arbetarna till 20 miljoner kronor. Inför dessa siffror måste man verkligen bli litet betänksam och fråga sig, om det verkligen inte hade varit skäl för Kungl. Maj:t att företaga en mera allsidig och omfattande utredning, innan förslaget framlades. Med den korta tid, som nu stått till buds, har det inte varit möjligt för byråchefen Tim Jansson att verkställa en så grundlig utredning som hade varit möjlig, om utredningen gjorts, innan propositionen framlämnades till riksdagen. Byråchefen Tim Jansson har också bestämt reserverat sig i den utredning, som han företagit på utskottets begäran. Han har sålunda framhållit, att beräkningarna med hänsyn till den korta tid som stått till hans förfogande måst i avsevärd grad utföras som överslagsberäkningar.</w:t>
        <w:br/>
        <w:br/>
        <w:t>Därtill kommer en annan fråga i detta sammanhang. Utskottet har helt naturligt velat ha reda på vad sätt dessa kapitaliserade belopp framdeles komma att tynga budgeten såsom utgifter för pensionerna. I det avseendet svarar byråchefen Tim Jansson följande: »Några siffror angående de mot ifrågavarande kapitalvärde svarande belopp, som falla på olika år, kunna ej lämnas</w:t>
        <w:br/>
        <w:br/>
        <w:t>Ja, härmed har jag velat angiva de kapitaliserade belopp, närmast de i propositionen icke omnämnda, som staten måste i en eller annan form utge vid föreslagna övergångsbestämmelser. Då som sagt den utredning som föreligger inte kan anses tillfredsställande och då det gäller väsentliga belopp, är det — förefaller det mig — riktigt att vila på hanen till nästa år med frågans avgörande.</w:t>
        <w:br/>
        <w:br/>
        <w:t>Jag vill tillägga, att jag för min del tycker, att det är ett annat moment, som spelar en roll här, och det är att finansministern går ut ifrån att de extra ordinarie skola — i samband med att de sålunda komma in under familjepensioneringen och få betala avgifter — erhålla en motsvarande förhöjning av sin lön. Det är mycket möjligt, att det är riktigt — jag vill inte bestrida det — men jag vill säga, att den frågan borde egentligen beslutas vid samma års riksdag som den, under vilken man beslutar om pensionerna. Det gäller inte ett så litet belopp. Det gäller redan nu för de extra ordinarie i de kassor, med vilka preliminär överenskommelse redan träffats, ett belopp av 1.4 miljoner kronor, och tar man med de övriga kassorna kommer man upp i ett belopp på säkerligen över 1.6 miljoner kronor. Visserligen har utskottet gjort en reservation för att bibehålla riksdagens frihet på denna punkt till nästa år, men jag anser, att redan ett uttalande från finansministern om nyssnämnda kompensation borde av riksdagen så till vida desavueras, att riksdagen ströke övergångsbestämmelsen för att först nästa år taga ställning till den-</w:t>
        <w:br/>
        <w:br/>
        <w:t>Med vad jag nu anfört har jag velat framhålla, att jag kunnat i huvudsak biträda Kungl. Maj:ts förslag till reglementen med undantag av vissa dessas övergångsbestämmelser. Ett yrkande i sistnämnda avseende innefattar jämväl yrkande om avslag å prop. nr 245 och 258 angående överenskommelse med tre kassor. Härigenom skulle riksdagen 1937 efter utredning rörande övriga kassors ekonomiska ställning kunna i ett sammanhang pröva överenskommelser med alla kassorna. Härmed och genom avslag å övergångsbestämmelserna rörande rätten för extra-ordinarie och arbetare att för familjepension få räkna sig till godo tidigare tjänsteår hade riksdagen fria händer att taga ställning till frågan efter en förutgående grundligare utredning än den, som förebragts i propositionerna, och än den, som utskottet kunnat införskaffa. Det kan sålunda inträffa, att riksdagen vid närmare övervägande och närmare utredning, som bl. a. visar på vad sätt de 27 miljonerna, som motsvara kapitaliserade värdet av övergångsbestämmelserna rörande extraordinarie befattningshavare och arbetare, skola slås ut på de olika åren, skulle vilja ha något annorlunda formulerade övergångsbestämmelser i nämnda avseende än dem finansministern föreslagit. I detta avseende må framhållas att vid egenpensioneringens ordnande för arbetare man i övergångsbestimmelserna gjort vissa inskränkningar i rätten att få räkna till godo tjänsteår, under vilka pensionsavgifter icke betalats. Men oavsett detta synes mig angeläget för riksdagen att ha på detta område, där det dock gäller väldiga belopp, en utredning som kan an-</w:t>
        <w:br/>
        <w:br/>
        <w:t>ges vara fullt tillfredsställande.</w:t>
      </w:r>
    </w:p>
    <w:p>
      <w:pPr>
        <w:pStyle w:val="Heading2"/>
      </w:pPr>
      <w:r>
        <w:t>2. Victor Mattsson (Bondeförbundet, man)</w:t>
      </w:r>
    </w:p>
    <w:p>
      <w:r>
        <w:rPr>
          <w:b w:val="0"/>
        </w:rPr>
        <w:t>Herr talman! Det nu föreliggande förslaget innebär, att staten skall övertaga den av enskilda kassor omhänderhavda familjepensioneringen för statens ordinarie befattningshavare samt nyinföra sådan familjepensioneing för icke-ordinarie befattningshavare och arbetare i statens tjänst. Riksdagen har tidigare hemställt om utredning och förslag till ordnande av ifrågavarande familjepensionering. 1930 års pensionssakkunniga utgingo från att kostnaderna för denna pensionering helt borde bestridas av de anställda själva, medan däremot 1934 års utredningsmän och det här nu föreliggande förslaget räkna med fortsatt och förhöjt bidrag av statsmedel utöver de med förslaget förenade stora övergångskostnaderna.</w:t>
        <w:br/>
        <w:br/>
        <w:t>Med de mycket skiftande förhållanden och förmåner inom de olika kassorna, och då de fast anställda icke ordinarie befattningshavarna och arbetarna sakna liknande familjepensionering, är det nog riktigt, att staten tillser, att det blir bättre likställighet på ifrågavarande område, men att godkänna det nu föreliggande förslaget kan jag dock för min del icke vara med om, varför jag till bankoutskottets förslag antecknat en blank reservation. Jag frågar mig: kan verkligen andra kammaren vara beredd att godkänna detta förslag med dessa stora övergångskostnader, som utskottsmajoriteten själv säger icke helt nu kunna överblickas eller beräknas? Och jag finner, att det anförande herr Carleson höll beträffande utredningen och övergångskostnaderna är ganska belysande, varför jag frågar mig, om andra kammaren kan godkänna föreliggande förslag.</w:t>
        <w:br/>
        <w:br/>
        <w:t>Staten har visserligen i många år genom särskilda bidrag understött dessa enskilda kassor, men nu inräknas detta bidrag till ett fast anslag å 120 kronor till varje pensionär och år utöver ett rörligt bidrag, och staten ikläder sig givetvis härigenom ett helt annat ansvar och risk utöver själva övergångskostnaderna. Då beräkningarna vid statens övertagande av de tre nu närmast ifrågasatta och med preliminära avtal uppgjorda överenskommelserna för civilstatens, telegrafverkets och statens järnvägars kassor och tillgångar bygger på ett avkastningsvärde av fyra procent, så framgår redan härav, att de beräknade framtida kostnaderna för staten bliva betydligt större än vad förslagets siffermaterial utvisar. När och var får staten sina fyra procent på dessa stora fonder och tillgångar? | |</w:t>
        <w:br/>
        <w:br/>
        <w:t xml:space="preserve">Den nu pågående utredningen av frågan om lönereglering för statens tjänstemän synes mig böra behandlas först eller åtminstone i ett sammanhang, innan en av staten övertagen familjepensionering äger rum. Ett exempel härpå är, att i detta förslag de nu icke ordinarie befattningshavarna beräknas bli uppflyttade en lönegrad och detta innan statsutskottet och riksdagen tagit ställning till denna lönefråga i och för sig. De beräknade övergångskostnaderna för icke-ordinarie tjänstemännen, arbetare och ordinarie </w:t>
      </w:r>
      <w:r>
        <w:rPr>
          <w:b/>
        </w:rPr>
        <w:t>kvinnliga¹</w:t>
      </w:r>
      <w:r>
        <w:rPr>
          <w:b w:val="0"/>
        </w:rPr>
        <w:t xml:space="preserve"> tjänstemännen beräknas enligt förslaget — såsom herr Carleson anförde — till ett kapitalvärde av icke mindre än 27,165,000 kronor, vartill säkerligen kommer, som jag tidigare framhållit, ytterligare stora övergångskostnader. -</w:t>
        <w:br/>
        <w:br/>
        <w:t>Om jag således av rena kostnadsskäl för min del icke kan godkänna det nu föreliggande förslaget, är det även härutöver några som jag anser betydelsefulla detaljbestämmelser i detsamma, som jag ej kan vara med om.</w:t>
        <w:br/>
        <w:br/>
        <w:t>Utskottet har visserligen nedsatt barns pensionsrätt från 1 propositionen upptaget förslag av 21 år till 19 år, men för min del anser jag, att denna ålder borde fastställas till högst 18 år. Likaså har utskottet nedsatt åldersgränsen i fråga om makes pensionsrätt för äktenskaps ingående till 60 år från i propositionen upptagna 65 år. Att några kassor tidigare haft högre ålder kan icke få vara normerande, när nu staten går in för övertagande av denna familjepensionering.</w:t>
        <w:br/>
        <w:br/>
        <w:t xml:space="preserve">Ett nytt och betydelsefullt förslag i detta utskottsutlåtande är införande av änklingepension för den mansperson, som varit nog omtänksam att gifta sig med en statstjänstekvinna. Vilka konsekvenser kommer icke detta förslag att få, om det blir genomfört? Att Stockholms stad infört liknande pensionsrätt kan väl ändå icke få ha avgörande betydelse, då vi gå att lösa en fråga, som kommer att få så stor betydelse för hela vårt land. Om jag tar ett exempel på de följder, som säkerligen komma att uppstå, om detta förslag vinner riksdagens bifall, så måste jag fråga: vad tro ni, mina damer och herrar, att det övriga folket ute i bygderna skall säga och tycka om en man där ute, som varit gift med en statstjänstekvinna, efter </w:t>
      </w:r>
      <w:r>
        <w:rPr>
          <w:b/>
        </w:rPr>
        <w:t>hustruns²</w:t>
      </w:r>
      <w:r>
        <w:rPr>
          <w:b w:val="0"/>
        </w:rPr>
        <w:t xml:space="preserve"> död, kanske vid relativt unga år skall uppbära pension för såväl sig själv som kanske också flera stora starka pojkar tills dessa bli 19 år, då däremot hans grannfamiljer icke alls ha några liknande förmåner. Jag frågar: är detta att tillämpa likställighet och demokrati för vårt lands olika medborgare?</w:t>
        <w:br/>
        <w:br/>
        <w:t xml:space="preserve">Vi ha ju också en kommitté, som nu håller på att utreda frågan om gifta </w:t>
      </w:r>
      <w:r>
        <w:rPr>
          <w:b/>
        </w:rPr>
        <w:t>kvinnors¹</w:t>
      </w:r>
      <w:r>
        <w:rPr>
          <w:b w:val="0"/>
        </w:rPr>
        <w:t xml:space="preserve"> statstjänst, dubbeltjänster och mångsyssleri. Är det då lämpligt och riktigt att nu här införa denna änklingepension? Även om många </w:t>
      </w:r>
      <w:r>
        <w:rPr>
          <w:b/>
        </w:rPr>
        <w:t>kvinnor¹</w:t>
      </w:r>
      <w:r>
        <w:rPr>
          <w:b w:val="0"/>
        </w:rPr>
        <w:t xml:space="preserve"> vilja ha full likställighet med männen, så tror jag dock, att det är ändå omöjligare och olämpligare, om nu männen vilja ha full likställighet med </w:t>
      </w:r>
      <w:r>
        <w:rPr>
          <w:b/>
        </w:rPr>
        <w:t>kvinnan¹</w:t>
      </w:r>
      <w:r>
        <w:rPr>
          <w:b w:val="0"/>
        </w:rPr>
        <w:t xml:space="preserve">. När det sägs, att denna änklingepension är principiellt riktig, då statstjänstekvinnan betalar samma pensionsavgift, så är det väl ändå en mycket enkel lösning att låta </w:t>
      </w:r>
      <w:r>
        <w:rPr>
          <w:b/>
        </w:rPr>
        <w:t>hennes²</w:t>
      </w:r>
      <w:r>
        <w:rPr>
          <w:b w:val="0"/>
        </w:rPr>
        <w:t xml:space="preserve"> avgift vara lägre, och jag vill fästa uppmärksamheten på att i förslaget till reglemente för efterlevande till arbetare i statens tjänst håller icke denna principiella inställning, ty här förslås pension endast till </w:t>
      </w:r>
      <w:r>
        <w:rPr>
          <w:b/>
        </w:rPr>
        <w:t>änka²</w:t>
      </w:r>
      <w:r>
        <w:rPr>
          <w:b w:val="0"/>
        </w:rPr>
        <w:t xml:space="preserve"> och barn.</w:t>
        <w:br/>
        <w:br/>
        <w:t>Då jag således icke kan godkänna det föreliggande förslaget utan anser, att detsamma i väsentliga delar bör omarbetas, innan riksdagen fattar sitt beslut, så ber jag, herr talman, att nu få yrka avslag på det föreliggande förslaget.</w:t>
      </w:r>
    </w:p>
    <w:p>
      <w:pPr>
        <w:pStyle w:val="Heading2"/>
      </w:pPr>
      <w:r>
        <w:t>3. Johan Brädefors (Vänsterpartiet, man)</w:t>
      </w:r>
    </w:p>
    <w:p>
      <w:r>
        <w:rPr>
          <w:b w:val="0"/>
        </w:rPr>
        <w:t xml:space="preserve">Herr talman! TI den del av frågan, som gäller övertagande av dessa kassor har jag tillika med herr Hagberg i Luleå väckt en motion, vari vi hemställt, »att riksdagen måtte bemyndiga Kungl. Maj:t att träffa överenskommelse med fullmäktige för statens järnvägars </w:t>
      </w:r>
      <w:r>
        <w:rPr>
          <w:b/>
        </w:rPr>
        <w:t>änkeoch²</w:t>
      </w:r>
      <w:r>
        <w:rPr>
          <w:b w:val="0"/>
        </w:rPr>
        <w:t xml:space="preserve"> pupillkassa i huvudsaklig överensstämmelse med Kungl. Maj:ts förslag, dock med de ändringar och tillägg, som ha föreslagits 1 motion nr 677 i andra kammaren», nämligen vår motion.</w:t>
        <w:br/>
        <w:br/>
        <w:t xml:space="preserve">Statens järnvägars </w:t>
      </w:r>
      <w:r>
        <w:rPr>
          <w:b/>
        </w:rPr>
        <w:t>änkeoch²</w:t>
      </w:r>
      <w:r>
        <w:rPr>
          <w:b w:val="0"/>
        </w:rPr>
        <w:t xml:space="preserve"> pupillkassa är den mest betydande kassan av alla de tre kassor, som det här är frågan om att staten skall övertaga, den mest betydande icke endast därför att den är den största utan också därför att den för med sig till boet — om jag så får säga — de största tillgångarna, om jag blivit rätt underrättad. Jag hoppas, att jag har fått upplysningar, som hålla streck, ty jag har fått dem från en delegerad från statens järnvägars </w:t>
      </w:r>
      <w:r>
        <w:rPr>
          <w:b/>
        </w:rPr>
        <w:t>änkeoch²</w:t>
      </w:r>
      <w:r>
        <w:rPr>
          <w:b w:val="0"/>
        </w:rPr>
        <w:t xml:space="preserve"> pupillkassa. Det säges därifrån, att statens järnvägars </w:t>
      </w:r>
      <w:r>
        <w:rPr>
          <w:b/>
        </w:rPr>
        <w:t>änkeoch²</w:t>
      </w:r>
      <w:r>
        <w:rPr>
          <w:b w:val="0"/>
        </w:rPr>
        <w:t xml:space="preserve"> pupillkassa har tillgångar till närmare 100 miljoner kronors värde, som de komma med till statens kassa. Däremot har man en kassa sådan som</w:t>
        <w:br/>
        <w:br/>
        <w:t>Vi ha dessutom föreslagit, att tjänsteårsberäkningen för erhållande av oavkortad familjepension skulle bestämmas något lägre än Kungl. Maj:t och utskottet föreslagit, nämligen 30 år. Vi ha föreslagit 25 år. Redan när det här i kammaren var fråga om att besluta om tjänstepensionsreglementet, hade vi föreslagit samma grund för såväl pensionsunderlaget som tjänsteårsberäkningen. Vi ansågo det redan vid tjänstepensionens bestämmande vara rättvist och det anse vi också i fråga om familjepensionen.</w:t>
        <w:br/>
        <w:br/>
        <w:t>Vi ha också för arbetarnas del föreslagit, att samma beräkningsgrunder skola gälla både i fråga om pensionsunderlag och tjänsteårsberäkning.</w:t>
        <w:br/>
        <w:br/>
        <w:t>Vidare ha vi föreslagit en ändring i regeringens och utskottets förslag angående arbetarpersonalens placering i jämförelse med lönegrupperna för personal på ordinarie och extra ordinarie stat. Man har här såväl som i tjänstepensionshänseende jämställt arbetare, d. v. s. icke yrkesarbetare, med extra ordinarie tjänstemän i fjärde lönegraden och yrkesarbetare med extra ordinarie tjänstemän i sjätte lönegraden. Jag tror inte, att någon här i kammaren, som har någon kännedom om t. ex. förhållandena med avseende å de yrkesutbildade verkstadsarbetarnas kvalifikationer, kan jämföra en sådan med en extra ordinarie stationskarl. Nog måste man säga, att det är en dålig värdesättning av en yrkesutbildad arbetare. Nog måste man åtminstone gå så långt i medgivande, att en yrkesutbildad arbetare t. ex. i verkstadsfacket skall kunna jämföras med extra ordinarie reparatörer vid statens järnvägar eller liknande verk, och då skulle han komma i högre lönegrupp än nu föreslagits. Det är precis samma förhållande i fråga om familjepensioneringen som i fråga om tjänstepensioneringen, att man här har från utskottets och regeringens sida föreslagit en viss mindervärdighetsstämpel i förhållande till den övriga ordinarie och icke-ordinarie personalen.</w:t>
        <w:br/>
        <w:br/>
        <w:t>Vi ha dessutom också föreslagit ändring i ett annat avseende nämligen 1 fråga om de inbetalta pensionsavgifterna. Om en befattningshavare slutar sin anställning, antingen självmant eller av annan anledning, så får han med nu gällande bestämmelser — något som också blir fallet i denna statliga pensionskassa — ingenting åter av de avgifter han under lång tid, kanske ett</w:t>
        <w:br/>
        <w:br/>
        <w:t xml:space="preserve">Det talas i detta utlåtande om de preliminära överenskommelser, som träffats mellan dessa kassors delegerade och staten. Men vad angår statens järnvägars </w:t>
      </w:r>
      <w:r>
        <w:rPr>
          <w:b/>
        </w:rPr>
        <w:t>änkeoch²</w:t>
      </w:r>
      <w:r>
        <w:rPr>
          <w:b w:val="0"/>
        </w:rPr>
        <w:t xml:space="preserve"> pupillkassa och den preliminära överenskommelsen vet jag, att redan där har det inte varit någon enhällighet vid beslutet om överlåtandet av denna kassas tillgångar till staten. Det har t. o. m. gått så långt, att åtminstone en av de delegerade från </w:t>
      </w:r>
      <w:r>
        <w:rPr>
          <w:b/>
        </w:rPr>
        <w:t>änkeoch²</w:t>
      </w:r>
      <w:r>
        <w:rPr>
          <w:b w:val="0"/>
        </w:rPr>
        <w:t xml:space="preserve"> pupillkassan har i reservation framfört yrkande om vissa villkor, för att han skulle gå med på denna överenskommelse, och de villkoren ha varit ungefär desamma, som vi framfört 1 vår motion, nämligen om ändringar i sådan riktning, att de lägre befattningshavarnas intressen skulle bli bättre tillgodosedda. Denne delegerade gick så långt, att han t. o. m. vägrade att underskriva denna preliminära överenskommelse. Och när denna bestämmelse kom till </w:t>
      </w:r>
      <w:r>
        <w:rPr>
          <w:b/>
        </w:rPr>
        <w:t>änkeoch²</w:t>
      </w:r>
      <w:r>
        <w:rPr>
          <w:b w:val="0"/>
        </w:rPr>
        <w:t xml:space="preserve"> pupillkassans fullmäktige, var beslutet inte heller där enhälligt, utan två av fullmäktiges ledamöter reserverade sig mot en sådan överenskommelse just därför, att inte de lägre befattningshavarna och deras intressen voro tillräckligt tillgodosedda 1 denna preliminära överenskommelse.</w:t>
        <w:br/>
        <w:br/>
        <w:t>Herr talman! Med dessa ord yrkar jag bifall till de av oss väckta motionerna nr 677 och 833.</w:t>
      </w:r>
    </w:p>
    <w:p>
      <w:pPr>
        <w:pStyle w:val="Heading2"/>
      </w:pPr>
      <w:r>
        <w:t>4. Ragnar Lundqvist (Högerns riksdagsgrupp, man)</w:t>
      </w:r>
    </w:p>
    <w:p>
      <w:r>
        <w:rPr>
          <w:b w:val="0"/>
        </w:rPr>
        <w:t>Herr talman! Med hänsyn till det mycket digra arbetsprogram som återstår och då utskottet är ovanligt enigt i detta fall, skall jag inte ingå på något principiellt bedömande av det föreliggande förslaget.</w:t>
        <w:br/>
        <w:br/>
        <w:t>Som en av personalens förhandlingsdelegerade har jag ju haft tillfälle att tänka mig ganska djupt in i detta förslag och tror mig kunna påstå, att förslaget, även om det naturligtvis inte är utan brister, dock innebär en relativt god lösning av denna fråga, och då ser jag det både ur statens och ur personalens synpunkt. Jag medger visst, att det höjts röster, åtminstone inom vissa av de berörda kassorna, för att man inte skulle gå med på förslaget. Man förmenar nämligen å dessa håll, att kassornas ställning f. n. är sådan, att om man bibehölle deras frihet, skulle man ha möjlighet att åstadkomma bättre pensioner än som här bjudas. Jag har velat säga detta mot dem, som här tro, att förslaget innebär uteslutande överväldigande förmåner för de anställda.</w:t>
        <w:br/>
        <w:br/>
        <w:t xml:space="preserve">Det är endast en liten detalj i herr Carlesons anförande som jag dock vill vända mig emot. Jag förmodar, att det var en ren felsägning av herr Carleson, när han ville göra gällande, att beträffande statens järnvägars </w:t>
      </w:r>
      <w:r>
        <w:rPr>
          <w:b/>
        </w:rPr>
        <w:t>änkeoch²</w:t>
      </w:r>
      <w:r>
        <w:rPr>
          <w:b w:val="0"/>
        </w:rPr>
        <w:t xml:space="preserve"> pupillkassa skulle föreligga en brist på 1 1/3 miljon kronor. Det är inte så. Det förhåller sig tvärtom så, att det finns ett överskott på över detta belopp. Summan 12/2 miljon kronor är en fordran, som kassan anser sig ha på staten och som enligt Kungl. Maj:ts och utskottets förslag skulle till kassan betalas.</w:t>
        <w:br/>
        <w:br/>
        <w:t>I allt väsentligt sammanfaller i övrigt utskottets förslag med Kungl. Maj:ts proposition; det är endast i några mindre detaljer som avvikelser förekomma. Även om det vore frestande att gå in på dessa, skall jag avstå därifrån. Jag måste emellertid säga, att det är beklagligt, att utskottet vidtagit sänkning i fråga om åldersgränsen för barnpensioneringen från 21 till 19 år. Men då det inte finns någon reservation på denna punkt, tjänar det inte något till att här göra något yrkande, varför jag nöjer mig med att på detta sätt beklaga</w:t>
        <w:br/>
        <w:br/>
        <w:t xml:space="preserve">Beträffande sedan den motion, som jag tillåtit mig väcka i frågan, har utskottet vänligt nog tillmötesgått densamma på en punkt och föreslagit utredning därom. Jag hade naturligtvis varit gladare, om utskottet kunnat gå med på utredning även i någon av de andra punkterna. Det hade funnits anledning att göra det, ty de där framförda önskemålen äro redan nu i stor utsträckning tillgodosedda genom i det för statens järnvägars </w:t>
      </w:r>
      <w:r>
        <w:rPr>
          <w:b/>
        </w:rPr>
        <w:t>änkeoch²</w:t>
      </w:r>
      <w:r>
        <w:rPr>
          <w:b w:val="0"/>
        </w:rPr>
        <w:t xml:space="preserve"> pupillkassa gällande reglemente införda bestämmelser. Det är alltså till stor del inte fråga om någon nyhet utan om bibehållande av en anordning, som redan existerar. Jag hoppas därför, att, när Kungl. Maj:t går att taga upp den fråga till utredning, som utskottet förordat, Kungl. Maj:t skall finna anledning att se även på de andra punkterna i motionen. Jag tror, att de äro värda att uppmärksammas och att bli föremål för en mera ingående utredning än vad väl utskottet haft möjlighet till under sin korta behandling av ärendet.</w:t>
        <w:br/>
        <w:br/>
        <w:t>Med dessa få ord, herr talman, ber jag att få yrka bifall till utskottets hemställan.</w:t>
      </w:r>
    </w:p>
    <w:p>
      <w:pPr>
        <w:pStyle w:val="Heading2"/>
      </w:pPr>
      <w:r>
        <w:t>5. Edvin Leffler (–, man)</w:t>
      </w:r>
    </w:p>
    <w:p>
      <w:r>
        <w:rPr>
          <w:b w:val="0"/>
        </w:rPr>
        <w:t>Herr talman! Den proposition, som är föremål för bankoutskottets utlåtande nr 75, är i sin tur föranledd av en skrivelse från riksdagen förra året, däri riksdagen begärde utredning och förslag rörande en familjepensionering, varigenom man skulle undvika de besvärliga förhållanden, som ofta under de senaste åren uppstått, då motioner om pension till såväl extra ordinarie tjänstemän som arbetare i statens tjänst varit föremål för behandling. Man har inte kunnat komma förbi det intrycket, att, då dessa motioner ibland bifallits av riksdagen och ibland blivit avslagna, det skett mera på en slump. Det var dessa omständigheter, som föranledde denna skrivelse och som äro grundvalen för den kungl. proposition, som nu blivit föremål för bankoutskottets behandling.</w:t>
        <w:br/>
        <w:br/>
        <w:t xml:space="preserve">Jag delar fullkomligt de betänkligheter, som av herr Carleson och herr Mattsson framförts. Dessa blevo också föremål för ganska ingående överläggningar i utskottet, men utskottet ansåg sig bundet av den framställning, som riksdagen på dess förslag förra året gjorde till Kungl. Maj:t, och ansåg, att man inte skulle skjuta upp frågans avgörande och begära ny utredning. Det är nu närmast dessa övergångskostnader, som gjorde herr Carleson betänksam. På grund av att utredningen beträffande dem i den kungl. propositionen var något knapphändig, vidtog utskottet, som även herr Carleson påpekat, åtgärd för att om möjligt få en tydligare och klarare sådan utredning. Emellertid har den utredning, som sedan framkommit, kanske inte blivit fullt exakt. Man kan inte till siffran ange, hur stora dessa kostnader komma att bli, men utskottets majoritet har fått det bestämda intrycket, att om en förnyad och mera exakt utredning skulle visa någon differens 1 fråga om kostnaderna, så kommer denna skillnad att bli relativt obetydlig. Det är dessa omständigheter som gjort, att utskottet ansett sig kunna tillstyrka den kungl. propositionen med de detaljändringar, som framgå av utskottets utlåtande. Jag tror, att man inte vinner något med att uppskjuta avgörandet. Nu ha i varje fall vissa uppgörelser redan träffats med de stora kassorna: civilstatens, statens järnvägars och telegrafverkets </w:t>
      </w:r>
      <w:r>
        <w:rPr>
          <w:b/>
        </w:rPr>
        <w:t>änkeoch²</w:t>
      </w:r>
      <w:r>
        <w:rPr>
          <w:b w:val="0"/>
        </w:rPr>
        <w:t xml:space="preserve"> pupillkassor. Skulle nu riksdagen besluta en ny utredning, sedan dessa avtal blivit träffade, kan det</w:t>
        <w:br/>
        <w:br/>
        <w:t>bli komplikationer och svårigheter. | | Herr talman! Jag ber att få yrka bifall till utskottets hemställan.</w:t>
      </w:r>
    </w:p>
    <w:p>
      <w:pPr>
        <w:pStyle w:val="Heading2"/>
      </w:pPr>
      <w:r>
        <w:t>6. Frans Severin (Socialdemokraterna, man)</w:t>
      </w:r>
    </w:p>
    <w:p>
      <w:r>
        <w:rPr>
          <w:b w:val="0"/>
        </w:rPr>
        <w:t>Herr talman! Med hänsyn till den långt framskridna tiden och under förhoppning, att det skall bli möjligt för kammaren att fatta beslut i frågan redan före middagen, skall jag, även om det vore intressant att upptaga en diskussion med anledning av vad herr Carleson och herr Brädefors i detta sammanhang yttrade om statens järnvägars tillgångar, dock avstå från någon vidare diskussion och inskränka mig till att yrka bifall till utskottets hemställan.</w:t>
      </w:r>
    </w:p>
    <w:p>
      <w:pPr>
        <w:pStyle w:val="Heading2"/>
      </w:pPr>
      <w:r>
        <w:t>7. Conrad Carleson (–, man)</w:t>
      </w:r>
    </w:p>
    <w:p>
      <w:r>
        <w:rPr>
          <w:b w:val="0"/>
        </w:rPr>
        <w:t xml:space="preserve">Herr talman! Det vill synas mig, som om det varit onödigt av herr Lundqvist att rätta till mina uppgifter, då han var närvarande här i kammaren under mitt anförande, varför det inte kan vara fråga om något misstag. Jag talade om det kapitalbelopp, som staten måste tillskjuta, om den övertar statens järnvägars </w:t>
      </w:r>
      <w:r>
        <w:rPr>
          <w:b/>
        </w:rPr>
        <w:t>änkeoch²</w:t>
      </w:r>
      <w:r>
        <w:rPr>
          <w:b w:val="0"/>
        </w:rPr>
        <w:t xml:space="preserve"> pupillkassa, och jag tillade, att det från många håll inom denna kassa framhållits, att det är statens skyldighet att betala ännu mycket mer. Det är kapitalbelopp, som staten måste betala i en eller annan form. Om herrarna läsa handlingarna, skola ni finna, att det är fråga om kristidshus, som kassan uppfört på statens tillskyndan, och att därför kassan med full rätt har krav på staten för dessa byggnadskostnader.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2080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