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793</w:t>
      </w:r>
    </w:p>
    <w:p>
      <w:r>
        <w:rPr>
          <w:b/>
        </w:rPr>
        <w:t xml:space="preserve">Datum: </w:t>
      </w:r>
      <w:r>
        <w:t>1937-04-14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Åkerberg (Socialdemokraterna, man)</w:t>
      </w:r>
    </w:p>
    <w:p>
      <w:r>
        <w:rPr>
          <w:b w:val="0"/>
        </w:rPr>
        <w:t>Herr talman! Herr Domö har Ju redan fått så många repliker att det kanske är synd att ytterligare sysselsätta sig med honom. Enligt ett under hela denna riksdag tillämpat högerrecept började han med att rikta ett angrepp mot bondeförbundet, som skulle ha gjort en kovändning i denna fråga. Herr von Heland och även herr andre vice talmannen ha redan framhållit att det har hänt något sedan sist, nämligen valet i höstas, och att denna fråga framför allt var föremål för valmännens avgörande. Jag skulle till detta vilja lägga en intressant omständighet, nämligen att valstatistiken visar att detta avgörande icke i någon särskilt högre grad påverkades av städernas valmän än av landsbygdens. Det är lika mycket landsbygdens fattiga befolkning som städernas befolkning som har åstadkommit detta avgörande till förmån för denna reform. Om till exempel herr Wistrand studerar valstatistiken skall han finna, att det socialdemokratiska partiet i mycket hög grad är ett landsbygdens parti och att det åtminstone fått större delen av sina valmän från landsbygden, under det att bland de partier som figurera i valstatistiken det är herr Wistrands eget parti, som är stadspartiet framför andra. Det är alltså litet egendomligt när herr Wistrand här uppträder som advokat för den fattiga landsbygden, som faktiskt har undanbett sig det försvaret.</w:t>
        <w:br/>
        <w:br/>
        <w:t>Frågan avgjordes väl också i hög grad redan vid regeringsbildningen i höstas. Jag erinrar om att regeringen då utfärdade ett program, vilket program ingalunda hade sin tyngdpunkt i den sociala hjälp som skulle lämnas städernas befolkning. Snarare var det på hjälpen åt landsbygdens fattiga befolkningsgrupper som tyngdpunkten lades. Jag tänker därför att denna fattiga befolkning, som högern framför allt har skjutit framför sig, icke behöver känna någon avund, om genom det beslut, som efter vad jag hoppas riksdagen kommer att fatta i dag, någon hjälp ges åt städernas, framför allt storstädernas gamla och utslitna människor. Redan vid valet i höstas manifesterade dessa fattiga grupper på landsbygden sin immunitet mot den demagogi som bedrevs i deras namn i denna fråga.</w:t>
        <w:br/>
        <w:br/>
        <w:t>Talet om att städerna och dyrortssamhällena själva böra sörja för sina egna fattiga har redan berörts i debatten. Nackdelen med ett sådant system skulle framför allt bli, att den olika villigheten i städerna att lämna sådan hjälp skulle åstadkomma olikformighet orterna emellan. Det förefaller också som om det kravet skulle strida mot det andra krav som framföres från samma håll, nämligen att man skall åstadkomma en enhetlig plan för hela vår socialvård.</w:t>
        <w:br/>
        <w:br/>
        <w:t>Det har här gjorts en jämförelse mellan dyrortsgrupperingen för folkpen-</w:t>
        <w:br/>
        <w:br/>
        <w:t xml:space="preserve">Ång. vissa ändringar i lagen om folkpensionering. (Forts.) sionärerna och för statstjänstemännen. De senare få ju sina pensioner bestämda på grundval av förhållandena på lägsta dyrort. Man säger: när statstjänstemännen avvisas på detta sätt, varför skall man då gå en annan väg i fråga om pensionärerna? Men jämförelsen är icke riktigt adekvat. Statstjänarna avvisas ju faktiskt huvudsakligen med den motiveringen att en pensionerad statstjänsteman icke behöver bo i en dyrort. När han blivit pensionerad kan han flytta till annan ort. Detta är ju det argument som i allmänhet förekommer. I verkligheten flytta pensionärerna icke till billigare orter, utan de bo kvar — åtminstone större delen av dem — på den plats där de haft sitt arbete. Människan är nu en gång sådan att </w:t>
      </w:r>
      <w:r>
        <w:rPr>
          <w:b/>
        </w:rPr>
        <w:t>hon²</w:t>
      </w:r>
      <w:r>
        <w:rPr>
          <w:b w:val="0"/>
        </w:rPr>
        <w:t xml:space="preserve"> lätt slår rot och icke så lätt rycks upp ur den jordmån där </w:t>
      </w:r>
      <w:r>
        <w:rPr>
          <w:b/>
        </w:rPr>
        <w:t>hon²</w:t>
      </w:r>
      <w:r>
        <w:rPr>
          <w:b w:val="0"/>
        </w:rPr>
        <w:t xml:space="preserve"> blivit rotfäst. Detta medför för statstjänstemännen icke så farliga konsekvenser, eftersom deras pensioner ändå äro så tillmätta, att det med någon begränsning av utgifterna går att leva på en dyrort, även om pensionen är tillmätt efter billigaste ort. Men så är icke förhållandet med de folkpensioner som utgå enligt nuvarande system och som skulle utgå enligt det nya systemet om detta skulle fastställa billigaste ort som grundval. Det går faktiskt inte att med de belopp som utlämnas enligt de nuvarande bestämmelserna bo på dyrort och dra sig fram utan att anlita fattigvården i samhället. För övrigt misstänker jag, att om det skulle bli på det sättet att alla de fattiga gamla i dyrorterna skulle flytta ut på landsbygden, när de finge sin pension, vi skulle få en emigration av en omfattning som icke kunde anses önskvärd ens ur samhällets egen synpunkt.</w:t>
        <w:br/>
        <w:br/>
        <w:t>Den finansiella frågan är naturligtvis en ömtålig sak. Ingen grupp har någon anledning att önska eller arbeta för att statens utgifter bindas vid uppgifter som icke kunna vidhållas annat än under högkonjunkturer och måste släppas under depressionstider. Men jag tror icke att någon med vederhäftighet kan påstå att vi ännu nått fram till den gränsen. Den befolkning det är fråga om måste ändå på ett eller annat sätt underhållas av samhället, och kostnaderna för detta underhåll måste i det ena som i det andra fallet tagas från produktionen. Så länge man icke kommer över existensminimum för dessa människor — och det kommer man ju icke ens för människorna på dyrort enligt detta förslag — kan det icke bli fråga om annat än en omgruppering, en reglering av de utgifter som samhället i alla fall har för dessa människor. Samhället får i det ena som i det andra fallet bära bördan av den vård som förekommer.</w:t>
        <w:br/>
        <w:br/>
        <w:t>Herr talman, jag ber att få yrka bifall till utskottets förslag.</w:t>
      </w:r>
    </w:p>
    <w:p>
      <w:pPr>
        <w:pStyle w:val="Heading2"/>
      </w:pPr>
      <w:r>
        <w:t>2. Felix Hamrin (Folkpartiet, man)</w:t>
      </w:r>
    </w:p>
    <w:p>
      <w:r>
        <w:rPr>
          <w:b w:val="0"/>
        </w:rPr>
        <w:t>Herr talman! Det brukar ofta påpekas, att frågorna i riksdagen äro avgjorda innan de komma på kammarens bord, och även om detta påstående i allmänhet är något överdrivet, så är det det i varje fall icke denna gång. Som vi alla veta, är behandlingen av denna proposition och därav föranledda motioner endast ett spegelfäkteri. 9Socialministern har en synnerligen lätt uppgift, när han i dag inkasserar den vinst som gick honom förlustig förra året. Vi skola se saken sådan den är: bondeförbundet har totalt kapitulerat, folkpartiet har resignerat och högerns motstånd är icke alls av samma kärvhet, som det var förra året. Vad som nu sker är frukten av en politisk uppgörelse, som också herr von Heland för en stund sedan framhöll, och vi ha endast att notera detta.</w:t>
        <w:br/>
        <w:br/>
        <w:t>Jag skulle därför, herr talman, mycket väl ha kunnat underlåta att uppträda här, men dels hade jag förra året ett ganska långt anförande mot denna sociala reform, som den ju kallas, och det finns anledning för mig att något erinra därom, dels har jag blivit särskilt apostroferad av herr Domö.</w:t>
        <w:br/>
        <w:br/>
        <w:t>När det gäller de invändningar mot förslaget, som jag förra året tillät mig</w:t>
        <w:br/>
        <w:br/>
        <w:t>Ang. vissa ändringar i lagen om folkpensionering. (Forts.) att framföra, finner jag att socialministern tydligen observerat mitt anförande och i någon mån åtminstone beaktat de synpunkter som där framfördes av mig och flera andra. Några små förändringar ha därför blivit vidtagna och anmärkningarna mot till exempel dyrortsgrupperingen och de därmed förknippade svårigheterna ha i viss utsträckning blivit beaktade. Men trots att det ligger ett år mellan den förra behandlingen av förslaget och nu, har det visat sig omöjligt för vederbörande, ehuru de erkänna bristerna, att råda bot för desamma. Jag konstaterar detta. Man står kvar vid de tre dyrortsgrupperna, oaktat vi, som jag påpekade förra året och upprepar nu, ha olika system när det gäller anordningar på andra områden för att utjämna skillnaderna i levnadskostnaderna mellan olika platser i landet. Förslaget har stannat vid de tre dyrortsgrupperna. Man har visserligen erkänt riktigheten i anmärkningen mot tiden för fastlåsandet av grupperingen, men det har man sökt komma förbi genom att säga, att grupperingen bestämmes för 10 år, men eftersom man nu inte vet hur det kommer att gestalta sig minskas tiden första gången från 10 år till 3 år. Man har vidare beaktat den anmärkning som Jag framförde 1936 beträffande förhållandet mellan två olika kommuner som gränsa till varandra och ha i stort sett likartad befolkning men stå i olika dyrortsgrupper. Det har dock icke visat sig vara möjligt lösa frågan utan resultatet har blivit ett palliativ. Genom att klyva kommunerna och föra vissa delar tillsamman, har därmed åstadkommits en viss utjämning. Jag skulle kunna fortsätta och peka på flera punkter, där man 1 socialdepartementet har sökt lösa svårigheterna men icke lyckats. Men är icke detta ett indirekt erkännande av det berättigade i kritiken från förra året, och borde det icke som en ofrånkomlig konsekvens medföra, att man bifölle herr Peterssons framställda yrkande. Här föreligger nämligen en hel rad med olösta frågor, vadan det rätta vore att begränsa tiden för lagens giltighet i enlighet med det förslag, som mina meningsfränder i andra kammaren motionsvis framställt. Under tiden borde det vara möjligt lösa dessa svårigheter, som givetvis endast kunna lösas sedan man haft någon tid att fundera över dem. Jag skall emellertid oförbehållsamt säga, att jag är socialministern och socialdepartementet tacksam för att man åtminstone gjort något för att lösa dessa svävande punkter som jag förra året påtalade.</w:t>
        <w:br/>
        <w:br/>
        <w:t>Sedan är det också en annan sak, herr talman, som jag skulle vilja framhålla. Det är mycket intressant att sitta och uppmärksamt lyssna till en diskussion sådan som denna. Vi behandla en fråga som det i själva verket råder ganska stor oenighet om, visserligen ingen oenighet i själva principsaken men ganska olika uppfattningar om vad vi syfta till och kunna åstadkomma. När jag läser utskottsutlåtandet finner jag i referatet på sid. 6 att socialministern vill vinna syftet att »bespara oförvitliga medborgare med ingen eller obetydlig inkomst förödmjukelsen att på ålderns dagar falla fattigvården till last eller för sin försörjning bliva beroende av anhörigas bistånd». Jag undrar om det finns någon som icke vill underskriva åtminstone det första av dessa uttryck. Men jag vill samtidigt tillfoga: Jag tror icke, herr statsråd, att det ligger till på det sättet numera. Det betraktas icke som någon förödmjukelse av mycket stora grupper av människor att nödgas gå och begära hjälp av det allmänna. Och är man så finkänslig att man känner sig förödmjukad av att nödgas efter ett långt och strävsamt liv anlita allmänna medel för sitt uppehälle, så måste man konstatera att här också föreligger en form av hjälp, stöd och underhåll på ålderns dagar som bestrides av allmänna medel på samma sätt som annat underhåll. Jag skulle vilja mot de starka uttryck, som herr socialministern använde, endast erinra om det enkla faktum, att i våra ålderdomshem, som vi nu kalla dem — för någon månad sedan in-</w:t>
        <w:br/>
        <w:br/>
        <w:t>Jag har tidvis under loppet av något mer än trettio år sysslat med fattigvård. Jag var med om att i min hemstad införa det s. k. Elberfeldsystemet, där som bekant varje vårdare har tre, fyra, fem familjer, som han ser till. Jag deltog i detta arbete och var själv fattigvårdare, som det hette på den tiden, och tillhörde fattigvårdsstyrelsen. Jag har nu i en helt annan ställning anledning och tillfälle att syssla med dessa frågor. Men jag måste, även om det låter hårt, säga, att man ofta får se exempel på att det där systemet, som herr socialministern talade om här och klandrade så mycket, måste fungera ganska hårt och strängt för att hålla tillbaka människor, som ha det bättre än andra, som inte söka sig fram för att få hjälp av allmänna medel. Jag tror också, att om man i socialdepartementet tar fram fattigvårdskonsulenternas berättelser och hör dem, så skall man också finna en mängd ganska drastiska exempel på att dessa konsulenter — det är ju en del av dem som tillhöra socialministerns parti — äro strängare i sina omdömen än vad de äro, som bekläda ämbeten, där man sysslar med samma fråga. Det är, förmodar Jag, beroende på den större personkännedom och den större överblick över klientelet, som konsulenterna ha 1 motsats till dem, som bekläda dessa åsyftade ämbeten.</w:t>
        <w:br/>
        <w:br/>
        <w:t xml:space="preserve">Beträffande den andra delen av herr statsrådets uttalande, så vet jag inte, om herr statsrådet menar, att man skall hänföra ordet »förödmjukelse» även till denna del — det gäller sådana, som för sin försörjning bliva beroende av anhörigas bistånd. Det är väl inte riktigt, att detta är en förödmjukelse, men i alla fall står kvar, att det är något att anmärka på. Jag förstår inte den inställningen, det måste jag uppriktigt säga, även om det är känslobetonat. Det är en förmån för anhöriga att få hjälpa anhöriga, det måste vara en förmån för barn att få försörja sina föräldrar, det är inte möjligt annat, och det måste vara en plikt för föräldrar att försörja medellösa barn, som inte förmå att försörja sig själva. Låt oss aldrig upplösa bandet mellan far och </w:t>
      </w:r>
      <w:r>
        <w:rPr>
          <w:b/>
        </w:rPr>
        <w:t>mor²</w:t>
      </w:r>
      <w:r>
        <w:rPr>
          <w:b w:val="0"/>
        </w:rPr>
        <w:t xml:space="preserve"> och barn å någotdera hållet! Jag skall inte vara sentimental, men jag tror, att det är en förmån så stor, att den bör var och en, som har tillfälle därtill, taga vara på och inte förspilla.</w:t>
        <w:br/>
        <w:br/>
        <w:t>Jag har redan en smula varit inne på herr socialministerns erinran om fattigvårdslagens första paragraf och följande paragrafer samt tolkningen av desamma, men vad tjänar det överhuvud taget till att tala därom, ty det finns ju inte några människor vid sunda vätskor, jurister eller lekmän, som tolka dessa paragrafer på det sätt som herr socialministern gjorde gällande, att de kunna — Jag bestrider inte det — tolkas och tillämpas. Vi leva i en annan och humanare tid, och jag föreställer mig, att det är så på alla lagstiftningsområden, att vill man pressa paragrafer och ord, kan man komma till rena orimligheterna.</w:t>
        <w:br/>
        <w:br/>
        <w:t>Jag har också erinrat om den motion, som mina meningsfränder väckt i andra kammaren, och jag återkommer till den och vill då säga, att jag fortfarande tror, att den har skäl för sig, om man inte vill resa ett absolut motstånd mot lagen även detta år. Denna motion var från motionärernas sida en utsträckt hand i syfte att nå så stor enighet som möjligt. Motionärerna hoppades även, att man från högersidan skulle uppgiva det rena motståndet och sluta upp kring en sådan linje för att få fastslaget detta: låt oss undersöka frågan i fortsättningen, och när dessa år ha gått, återkommer den automatiskt</w:t>
        <w:br/>
        <w:br/>
        <w:t>Ang. vissa ändringar i lagen om folkpensionering. (Forts.) för att då prövas i sin helhet. Här ha gjorts jämförelser, och sådana gjordes också förra året, mellan de förmåner, som redan beslutats åt vissa grupper, och förmåner åt andra grupper, som också få känning av de olika levnadsförhållandena och levnadskostnaderna i landet. Jag tror, att det alltjämt finns anledning att reflektera över den saken liksom beträffande en del andra förmåner. Naturligtvis menar jag också, att det hade varit rimligt och riktigt att få till stånd säkrare ekonomiska kalkyler, men det kan man, såsom jag ser frågan, inte få, förrän man har en dyrortsgruppering efter väl genomtänkta och justerade linjer.</w:t>
        <w:br/>
        <w:br/>
        <w:t xml:space="preserve">Därmed, herr talman, har jag egentligen sagt, vad jag har att säga rörande den föreliggande propositionen, men jag skall tillåta mig att något utvidga mitt anförande och peka på en sak, som synes mig vara värd allt beaktande i samband med denna fråga. Jag syftar härmed på arbetsgivarnas och framför allt de stora industribolagens — tillåt mig använda uttrycket — skyldighet att i större utsträckning än hittintills sörja för dem, som givit hela sitt liv och hela sin arbetskraft i deras tjänst. Jag vet inte, om det finns några säkra uppgifter eller någon statistik på i vilken utsträckning våra stora industriföretag ha beaktat vad jag anser vara deras skyldigheter gentemot sina arbetare. Jag känner bara en enda siffra, som är hämtad från en socialdemokratisk tidning, vilken gjorde gällande, att eidast omkring 3 procent av landets storindustri tänker på sina arbetare. Företagen bilda pensionskassor och sätta av belopp till pensionsfonder för tjänstemän, ingenjörer och kontorister 0. s. v., men de ha varit mycket njugga, när det gällt att avsätta penningar för pensionering och hjälp åt de rena kroppsarbetarna. Det skulle endast vara i tre procent, som sådant förekommit tidigare. Nu ha vi sett i tidningarna, som Jag förmodar herrarna observerat litet var, att ett och annat av våra stora bolag följt efter och vid bolagsstämmorna i år avsatt större och mindre belopp, en del ganska stora belopp — det har rört sig om miljoner. Jag menar, att det skulle vara mycket viktigt och angeläget att — jag säger det rent ut — komma därhän, att dessa stora bolag, samtidigt som styrelserna föreslå stämmorna att lämna utdelningar, också skulle, där tillfälle gives, anses ha någon skyldighet att avsätta medel för pensionering av sitt folk. Produktionen är ett resultat av kapital och arbete, och samtidigt som kapitalet får sin del, borde också arbetarna på ålderns dagar få sin del. Men långt ifrån att på socialdemokratiskt håll driva den satsen kritiserar man, som vi ha sett exempel på, bolag, som sedan lång, lång tid ha handlat på det sättet. Jag erinrar om den presskritik, som uppstod kring en åtgärd, som ett stort bolag i min hemstad vidtog, ett bolag, som ju, såsom herrarna veta, alls inte tillhör dem, som kunna handla hur som helst med sina penningar utan sedan åtskilliga år befinner sig i en ganska ömtålig för att inte säga prekär ställning. När jag såg detta i tidningarna, hade jag visserligen inte såsom befattningshavare i statens tjänst någonting att göra med den saken, men som gammal Jönköpingsbo och politiker fann jag mig föranlåten att begära att få en faktisk uppgift, hur det egentligen hängde ihop med de åtgärder, som vidtagits. Jag måste då säga, att när jag fann, hur man hade handlat där, så avtrubbades åtminstone min kritik emot den åtgärd, som hade vidtagits. Man har naturligtvis där, och det lär ha skett på andra håll också, när industribolagen pensionerat sina arbetare, tagit i anspråk en del av höjningen av folkpensionsbeloppen, men inte allt. I det bolag, jag nu syftar på, hade t. ex. en gift man förut 570 kronor i pension av bolaget och 153 av staten, tillsammans 723 kronor. Detta har Justerats så, att nu får han 300 kronor av bolaget och 600 av staten och kommer då upp till en summa på 900 kronor, alltså en ökning på 177 kronor. En </w:t>
      </w:r>
      <w:r>
        <w:rPr>
          <w:b/>
        </w:rPr>
        <w:t>kvinna¹</w:t>
      </w:r>
      <w:r>
        <w:rPr>
          <w:b w:val="0"/>
        </w:rPr>
        <w:t xml:space="preserve"> hade förut av bolaget 456 kronor och ingenting av staten. Efter de</w:t>
        <w:br/>
        <w:br/>
        <w:t xml:space="preserve">Ang. vissa ändringar i lagen om folkpensionering. (Forts.) nya bestämmelserna får </w:t>
      </w:r>
      <w:r>
        <w:rPr>
          <w:b/>
        </w:rPr>
        <w:t>hon²</w:t>
      </w:r>
      <w:r>
        <w:rPr>
          <w:b w:val="0"/>
        </w:rPr>
        <w:t xml:space="preserve"> behålla 240 kronor av bolaget och av staten får </w:t>
      </w:r>
      <w:r>
        <w:rPr>
          <w:b/>
        </w:rPr>
        <w:t>hon²</w:t>
      </w:r>
      <w:r>
        <w:rPr>
          <w:b w:val="0"/>
        </w:rPr>
        <w:t xml:space="preserve"> 300 kronor, summa 540 kronor. Det utgör i varje fall en ökning på i det närmaste 100 kronor. Därtill kan jag ju erinra om, att detta företag varit nödsakat att inskränka driften i mycket stor utsträckning. En del överflödigt TO förtidspensionerats, både män och </w:t>
      </w:r>
      <w:r>
        <w:rPr>
          <w:b/>
        </w:rPr>
        <w:t>kvinnor¹</w:t>
      </w:r>
      <w:r>
        <w:rPr>
          <w:b w:val="0"/>
        </w:rPr>
        <w:t xml:space="preserve"> för att inte lämnas blottställda.</w:t>
        <w:br/>
        <w:br/>
        <w:t>Jag har inte velat på något sätt — det framgår ju för övrigt klart av mitt anförande tidigare — taga i försvar någon åtgärd, som går i restriktiv riktning i det hänseendet, att man skulle fråntaga arbetarna alla förmåner, som följa med en höjning av folkpensionerna, men jag har velat i sanningens intresse lämna dessa upplysningar. Jag understryker också ännu en gång, vad jag betonat förut, att våra stora företag böra komma till insikt om att arbetarna ha krav på att, när de inte längre förmå arbeta i företagets tjänst, också på ålfernö dagar få del av avkastningen av det företag, som de ha satt in sin</w:t>
        <w:br/>
        <w:br/>
        <w:t>Som nu frågan ligger här, kommer jag givetvis för min del att rösta för den av herr Knut Petersson avgivna reservationen, men längre kan jag inte gå, herr talman. Jag tror, att det varit lyckligare, om man beträffande denna reform följt de linjer, som motionärerna från folkpartiet utstakat, och jag är övertygad om att ett eller två års uppskov skulle ha bidragit till en bättre lösning med hänsyn till framtiden än vad ett bifall till utskottets utlåtande nu innebär.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793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