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796</w:t>
      </w:r>
    </w:p>
    <w:p>
      <w:r>
        <w:rPr>
          <w:b/>
        </w:rPr>
        <w:t xml:space="preserve">Datum: </w:t>
      </w:r>
      <w:r>
        <w:t>1937-04-28</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Torsten Ström (Socialdemokraterna, man)</w:t>
      </w:r>
    </w:p>
    <w:p>
      <w:r>
        <w:rPr>
          <w:b w:val="0"/>
        </w:rPr>
        <w:t xml:space="preserve">Det är inte så värst många veckor sedan vi behandlade en annan fråga av liknande natur. Det gällde en pensionsförbättring åt en </w:t>
      </w:r>
      <w:r>
        <w:rPr>
          <w:b/>
        </w:rPr>
        <w:t>lärarinna³</w:t>
      </w:r>
      <w:r>
        <w:rPr>
          <w:b w:val="0"/>
        </w:rPr>
        <w:t>, som inte var berättigad därtill. Samtliga myndigheter, som hade yttrat sig i frågan, hade avstyrkt framställningen, och bankoutskottet gjorde detsamma. Men motionären hade uppbådat spetsarna i denna kammare med förste vice talmannen i täten till att varmt tala för saken, och han lyckades vid det tillfället få stor majoritet för sitt förslag om pensionsförbättringen.</w:t>
        <w:br/>
        <w:br/>
        <w:t xml:space="preserve">I dag har man inte lyckats uppbåda de ledande krafterna i kammaren, då det gäller denne fattige arbetare eller förman, utan det är endast herr Berling, som fått uppträda till reservanternas försvar. Det är ju på det sättet, att då en människa ser alla andra utvägar vara stängda, vänder </w:t>
      </w:r>
      <w:r>
        <w:rPr>
          <w:b/>
        </w:rPr>
        <w:t>hon²</w:t>
      </w:r>
      <w:r>
        <w:rPr>
          <w:b w:val="0"/>
        </w:rPr>
        <w:t xml:space="preserve"> sig till någon riksdagsman, som tar sig an </w:t>
      </w:r>
      <w:r>
        <w:rPr>
          <w:b/>
        </w:rPr>
        <w:t>hennes²</w:t>
      </w:r>
      <w:r>
        <w:rPr>
          <w:b w:val="0"/>
        </w:rPr>
        <w:t xml:space="preserve"> sak och väcker motion i endera kammaren. I regel brukar bankoutskottet, som behandlar sådana frågor, förhärda sig och inte anlägga några mera mänskliga synpunkter utan endast tänka på de konsekvenser, som kunna följa. Vi räknade också för ett år sedan i det fall, som tidigare berörts här i debatten, med dessa konsekvenser, men då gåvo kamrarna tillkänna en annan mening. Kamrarna ha visat oss en framkomlig väg att hjälpa dessa tre personer, som bo på samma plats där uppe i norden.</w:t>
        <w:br/>
        <w:br/>
        <w:t>Jag ber, herr talman, att få yrka bifall till herr Paulsens reservation.</w:t>
      </w:r>
    </w:p>
    <w:p>
      <w:pPr>
        <w:pStyle w:val="Heading2"/>
      </w:pPr>
      <w:r>
        <w:t>2. Gustaf Ehrnberg (–, man)</w:t>
      </w:r>
    </w:p>
    <w:p>
      <w:r>
        <w:rPr>
          <w:b w:val="0"/>
        </w:rPr>
        <w:t xml:space="preserve">Herr talman! Det var mycket lämpligt, att herr Ström återkallade i minnet den fråga, som tidigare förelåg här till behandling, angående pensionsförbättring åt en </w:t>
      </w:r>
      <w:r>
        <w:rPr>
          <w:b/>
        </w:rPr>
        <w:t>lärarinna³</w:t>
      </w:r>
      <w:r>
        <w:rPr>
          <w:b w:val="0"/>
        </w:rPr>
        <w:t>. Jag tror mig våga säga, att utskottets samtliga ledamöter kände sig ganska förvånade över den ståndpunkt, som denna kammare intog i den frågan. Är det på det sättet, att riksdagen skall fatta beslut i sådana frågor med åsidosättande av utskottets noggranna övervägande och under intryck av vad förnämliga talare anfört emot utskottet och på grund av ömmande omständigheter, har bankoutskottet inte längre någon som helst hållpunkt vid sitt bedömande av dylika pensionsärenden. Jag vill stryka under, att det är synnerligen vådligt att avgöra pensionsfrågor utan att noga övertänka de konsekvenser, som måste följa av ett riksdagsbeslut.</w:t>
        <w:br/>
        <w:br/>
        <w:t>Jag tror för min del, att det vore lyckligt, om riksdagen i detta fall följde utskottsmajoriteten, och jag tror mig inte gå för långt, när jag säger, att det knappast fanns en enda utskottsledamot, som ansåg, att något berättigande strängt taget förelåg för beviljande av pension i detta fall. De herrar, som hade en annan mening än majoriteten, grundade sitt ståndpunktstagande uteslutande därpå, att riksdagen vid två föregående tillfällen beviljat pensioner i likartade fall. Den allmänna meningen i utskottet var emellertid, att utskottet år 1935 begick en dumhet. Om man anser det, finns väl ingen anledning att fortsätta på en sådan väg, utan då bör man snarast möjligt återgå till de gamla reglerna i fråga om pensionsärenden av denna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796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