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2129</w:t>
      </w:r>
    </w:p>
    <w:p>
      <w:r>
        <w:rPr>
          <w:b/>
        </w:rPr>
        <w:t xml:space="preserve">Datum: </w:t>
      </w:r>
      <w:r>
        <w:t>1938-02-23</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Carl Gustav Tengström (Folkpartiet, man)</w:t>
      </w:r>
    </w:p>
    <w:p>
      <w:r>
        <w:rPr>
          <w:b w:val="0"/>
        </w:rPr>
        <w:t>Herr talman! Herr Andersson i Ovanmyra ville genast göra klart för herr Andersson i Rasjön, att vi, som reste till Spanien, inte reste som officiella representanter. Då jag i samråd med representanter för engelsmännen utformat den proklamation, som sedan blev översatt för svenska tidningar, vill jag nämna, fastän jag inte har grundtexten här, att början av proklamationen var följande: »We, public representatives from various countries.&gt; Det betyder, som herr Andersson i Ovanmyra mycket riktigt sagt, inte »vi officiella representanter» utan »vi representanter i offentlig ställning från olika länder». Och i delegationen diskuterade vi, tror jag, i tre kvarts timmes tid just denna passus, för att vi skulle vara fullt på det klara med att vi inte överskredo några diplomatiska gränser. Vi underströko betydelsen av dels ordet »public» och dels ordet »from». Den saken bör alltså vara ganska klar.</w:t>
        <w:br/>
        <w:br/>
        <w:t xml:space="preserve">Vad sedan gäller denna proklamation — eftersom den nu kommit i för- ' grunden — vill jag ytterligare understryka, att det ståndpunktstagande, som i dag kommit till uttryck i andra kammaren åtminstone från min sida, grundar sig framförallt på förekomsten av denna proklamation, som hade rent humanitärt syfte och ville åstadkomma en hjälp åt de betryckta, d. v. s. framför allt </w:t>
      </w:r>
      <w:r>
        <w:rPr>
          <w:b/>
        </w:rPr>
        <w:t>kvinnor¹</w:t>
      </w:r>
      <w:r>
        <w:rPr>
          <w:b w:val="0"/>
        </w:rPr>
        <w:t xml:space="preserve"> och barn. Och vi voro så överens på den punkten, att alla skandinaviska representanter i de olika delegationerna ha undertecknat proklamationen. Danmark hade representanter från alla fyra partierna, och även den konservativa representanten har undertecknat proklamationen. Att vi från Skandinavien höllo tillbaka detta av vissa fullt förståeliga skäl, medan engelsmännen ville mycket snabbt publicera proklamationen, det tycker jag skulle antecknas oss till berömmelse. Eftersom denna fråga ånyo kommit upp till diskussion, ber jag dessutom att få nämna ytterligare en sak, som livligt debatterades. Engelsmännen påpekade speciellt, att man i London för närvarande diskuterar möjligheten av en uppmjukning av non-interventionsbestimmelserna därhän, att det skulle vara tillåtet för de krigförande att utan hinder av non-interventionsbestämmelserna inköpa sådan krigsmateriel, som kunde anses böra komma till användning för skyddande av civilbefolkningen. Och jag undrar, om inte herr Vougt, som efter hans sista anförande att döma har rätt så goda förbindelser, inte skulle kunna använda dessa förbindelser för att genom den svenska regeringen söka få möjlighet till en uppmjukning av dessa bestämmelser i fortsättningen.</w:t>
        <w:br/>
        <w:br/>
        <w:t>Ja, herr talman, jag skulle nog ha anledning att säga en hel del ytterligare</w:t>
      </w:r>
    </w:p>
    <w:p>
      <w:pPr>
        <w:pStyle w:val="Heading2"/>
      </w:pPr>
      <w:r>
        <w:t>2. Nils Flyg (Kommunistiska partiet, man)</w:t>
      </w:r>
    </w:p>
    <w:p>
      <w:r>
        <w:rPr>
          <w:b w:val="0"/>
        </w:rPr>
        <w:t>Herr talman! Endast det ganska stora avståndet mellan herr Andersson i Rasjön och mig här i kammaren kan förklara den debatt, som han tog upp angående de svenska riksdagsmännen och deras karaktär av officiell representation för riksdagen. Jag använde orden »inofficiell representation», och jag tolkar det som motsatsen till vad herr Andersson i Rasjön ville läsa ut ur mitt anförande. Vi ha inte utsett dessa fyra herrar att resa till Spanien, och följaktligen kunde jag inte alls draga den slutsatsen, att de utgjorde någon officiell representation för den svenska riksdagen.</w:t>
        <w:br/>
        <w:br/>
        <w:t>Sedan ett par ord med anledning av herr Vougts anförande. Han menade, att det måhända kan inom den närmaste tiden bli anledning att återkomma till den fråga, som vi i dag ha att taga ställning till. Jag skulle vilja råda herr Vougt att i så fall omedelbart vidtaga de förberedande åtgärderna för detta återupptagande av frågan. Jag tror, att vi befinna oss vid en tidpunkt, då händelserna komma att rinna mycket snabbt undan, och då det, som vi i dag diskutera, kommer att kunna användas som bevis för den svenska riksdagens medverkan till åtgärder, vilka komma att leda till det republikanska Spaniens förintande. Det är de ord jag velat säga i detta sammanhang.</w:t>
        <w:br/>
        <w:br/>
        <w:t>Till sist vill jag vända mig till herr Andersson i Ovanmyra. Enligt min uppfattning har frågan om de frivilligas antal och huruvida de äro välkomna i Spanien eller inte ringa betydelse för det beslut det här gäller. Här gäller det en fråga av å ena sidan principiell karaktär och å andra sidan prejudicerande betydelse. Här gäller det ett beslut, genom vilket, som vi alla veta, den svenska riksdagen solidariserar sig med andra mot den demokratiska regimen i Spanien, och inga ord eller ordkonster kunna trolla bort detta faktum. Här gäller det ett beslut, som i en morgondag kan gälla för ett annat, oss närmare liggande land, och där vi med andra ord ha intagit en ståndpunkt, som kommer att åberopas för ett liknande ståndpunkstagande vid det tillfället. Jag tillät mig påpeka detta i fjol och jag upprepar det nu. Jag har för övrigt intet att tillägga.</w:t>
      </w:r>
    </w:p>
    <w:p>
      <w:pPr>
        <w:pStyle w:val="Heading2"/>
      </w:pPr>
      <w:r>
        <w:t>3. Hilding Hagberg (Vänsterpartiet, man)</w:t>
      </w:r>
    </w:p>
    <w:p>
      <w:r>
        <w:rPr>
          <w:b w:val="0"/>
        </w:rPr>
        <w:t xml:space="preserve">Herr talman! Min partikamrat </w:t>
      </w:r>
      <w:r>
        <w:rPr>
          <w:b/>
        </w:rPr>
        <w:t>fru²</w:t>
      </w:r>
      <w:r>
        <w:rPr>
          <w:b w:val="0"/>
        </w:rPr>
        <w:t xml:space="preserve"> Rönn-Christiansson har redan utvecklat skälen till att vi ansett oss, i motsats till vad som var fallet föregående år, böra ta ställning emot regeringens förslag. TI fjol stödde vi förslaget därför att det var sammankopplat med bevakningssystemet och därför att vi trodde — fastän det såg hopplöst ut — att det skulle bli ett slut på fascistinterventionen. Det har nu visat sig, att det inte gick som vi hade hoppats. När herr statsministern nu förklarar, att allt tyder på, att man verkligen kommer att lösa denna fråga, måste jag — med all respekt för herr statsministern — säga, att detta hans yttrande vittnar om en naivitet, som inte är vidare klädsam i denna fråga. Vi för vår del tro inte längre på en sådan möjlighet, utan vi tro att erfarenheten kommer att visa raka motsatsen, nämligen att fascistinterventionen kommer att fortsätta.</w:t>
        <w:br/>
        <w:br/>
        <w:t>Den egentliga anledningen till att jag begärde ordet var emellertid att jag ville be regeringen se till att icke åt denna olyckliga lag, därest den nu erhåller fortsatt giltighet, ges en innebörd, som den absolut inte skall ha. Det har nämligen visat sig, att svenska polismyndigheterna hejda svenska arbetare som vilja resa ur landet. Det finns intet bevis för att de vilja resa till Spanien som frivilliga, men de hejdas på blotta misstanken och trakasseras. Detta är emellertid inte det viktigaste i detta sammanhang. Det har också visat sig,</w:t>
        <w:br/>
        <w:br/>
        <w:t>att denna lag, som i sig är en kränkning av varje medborgares rätt att lämna landet, givit de tyska myndigheterna en formell möjlighet att förhindra svenska medborgare att resa genom Tyskland till Paris. Jag anser dylika kränkningar, vilka skett i en rad fall, vara av så pass uppseendeväckande natur att regeringen borde ha anledning att observera dem i och för ett effektivt ingripande. Även om det skulle kunna förefinnas en misstanke, att en och annan har för avsikt att resa till Spanien, anser jag dock, att den svenska regeringen inte bör tolerera något sådant som att man på blotta misstanken skall kunna beröva svenska medborgare en rätt, som lagen tillförsäkrar dem.</w:t>
        <w:br/>
        <w:br/>
        <w:t>Vidare vill jag, herr talman, säga några ord med anledning av vad ett par talare yttrat här i slutet av denna diskussion. Det är inte riktigt, att den spanska republiken inte skulle behöva frivilliga. Det är inte riktigt, att läget skulle vara sådant att man nu går ut och förkunnar, att man har folk i sådant överflöd att man inte har användning för experter från andra länder. Det förhåller sig tvärtom så — och härvidlag är jag säker på, att jag inte blottar någon hemlighet — att alla de experter som kunna ställas upp och som vilja gå in i den spanska folkarméns led också äro hjärtligt välkomna.</w:t>
        <w:br/>
        <w:br/>
        <w:t>Till slut vill jag, herr talman, med anledning av herr Anderssons i Ovanmyra uttalade om äventyrarelementet där nere säga några ord. Herr Andersson i Ovanmyra var här och sade, att jag inte fick generalisera hans uttalande, och jag gör det inte heller, men jag understryker, att dessa frivilliga som kämpat nere i Spanien skänkt åt det svenska namnet en sådan glans och en sådan auktoritet där nere att även om herr Andersson i Ovanmyra skulle ha påträffat ett och annat rötägg det inte finns något som helst berättigande uti dessa försök att ge de frivilliga ett epitet, vilket eventuellt skulle kunna kasta en skymt av skugga på dem såsom frivilliga. Från högsta militära håll ha de svenska frivilliga nere i Spanien fått de allra bästa vitsord såsom varande människor, vilka visat sig kunna med största allvar och beslutsamhet genomföra en given order och fullfölja de uppgifter, som de erhållit av militärbefälet. Detta intryck av dem har också vidarebefordrats till Sverige. Därför måste man reagera, när det i riksdagen fälles uttalanden, som — låt vara att de inte alls äro avsedda att uppfattas generellt — likväl kasta en skugga över dessa svenska frivilliga där nere. Ja, herr talman, jag vill säga, att de unga svenska män, som rest ner till Spanien för att kämpa på republikens sida och därvid kanske också trotsat frivilliglagen, visat sig ha handlat såsom verkliga representanter för ideal, vilka flertalet i denna kammare bekänner sig till.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2129</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