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2145</w:t>
      </w:r>
    </w:p>
    <w:p>
      <w:r>
        <w:rPr>
          <w:b/>
        </w:rPr>
        <w:t xml:space="preserve">Datum: </w:t>
      </w:r>
      <w:r>
        <w:t>1938-04-26</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Wigforss (Socialdemokraterna, man)</w:t>
      </w:r>
    </w:p>
    <w:p>
      <w:r>
        <w:rPr>
          <w:b/>
        </w:rPr>
        <w:t>Fru²</w:t>
      </w:r>
      <w:r>
        <w:rPr>
          <w:b w:val="0"/>
        </w:rPr>
        <w:t xml:space="preserve"> Elsa Amalia Johansson, som i går opererats för blindtarmsinflammation, är på grund därav oförmögen till arbete under två veckor.</w:t>
        <w:br/>
        <w:br/>
      </w:r>
      <w:r>
        <w:rPr>
          <w:b/>
        </w:rPr>
        <w:t>kvinna¹</w:t>
      </w:r>
      <w:r>
        <w:rPr>
          <w:b w:val="0"/>
        </w:rPr>
        <w:t xml:space="preserve"> av säte och stämma i domstol vid</w:t>
      </w:r>
    </w:p>
    <w:p>
      <w:pPr>
        <w:pStyle w:val="Heading2"/>
      </w:pPr>
      <w:r>
        <w:t>2. Oscar Dahlbäck (Folkpartiet, man)</w:t>
      </w:r>
    </w:p>
    <w:p>
      <w:r>
        <w:rPr>
          <w:b w:val="0"/>
        </w:rPr>
        <w:t xml:space="preserve">Herr talman! Såsom motionär uti detta ämne tillkommer det mig att med tillfredsställelse konstatera, att första lagutskottet i sak ingenting haft att erinra emot kravet på obligatorisk representation för </w:t>
      </w:r>
      <w:r>
        <w:rPr>
          <w:b/>
        </w:rPr>
        <w:t>kvinnorna¹</w:t>
      </w:r>
      <w:r>
        <w:rPr>
          <w:b w:val="0"/>
        </w:rPr>
        <w:t xml:space="preserve"> i domstolarna. En del invändningar ha likväl gjorts, som till slut utmynnat i ett yrkande, att denna motion icke måtte till någon riksdagens åtgärd föranleda.</w:t>
        <w:br/>
        <w:br/>
        <w:t xml:space="preserve">Det har icke kunnat undgå mig att såsom motiv härför av lagutskottet bland annat anförts, att en bestämmelse av den art som här föreslagits i viss mån skulle strida emot grundsatsen om den </w:t>
      </w:r>
      <w:r>
        <w:rPr>
          <w:b/>
        </w:rPr>
        <w:t>kvinnliga¹</w:t>
      </w:r>
      <w:r>
        <w:rPr>
          <w:b w:val="0"/>
        </w:rPr>
        <w:t xml:space="preserve"> domarkompetensen. Som bekant gäller numera den allmänna principen om fullständig likställighet vid rekrytering av våra underdomstolar. Jag kan för min del inte förstå att ett tillförsäkrande åt </w:t>
      </w:r>
      <w:r>
        <w:rPr>
          <w:b/>
        </w:rPr>
        <w:t>kvinnor¹</w:t>
      </w:r>
      <w:r>
        <w:rPr>
          <w:b w:val="0"/>
        </w:rPr>
        <w:t xml:space="preserve"> att få ha en representant i en underrätt skulle, såsom utskottet förmenar, i viss mån stå i strid mot grundsatsen om könens likställighet, ja t. o. m. »motverka att </w:t>
      </w:r>
      <w:r>
        <w:rPr>
          <w:b/>
        </w:rPr>
        <w:t>kvinnor¹</w:t>
      </w:r>
      <w:r>
        <w:rPr>
          <w:b w:val="0"/>
        </w:rPr>
        <w:t xml:space="preserve"> erhålla tillträde till domarbefattningar i andra mål eller i större utsträckning än som av be-</w:t>
        <w:br/>
        <w:br/>
        <w:t xml:space="preserve">stämmelsen föranledes». Tilltron till demokratien, som ju såvitt jag kan förstå — dithän ha vi väl nått — bortser från skiljaktigheten mellan könen, borde väl vara så stor, att varje farhåga av den art, som utskottet här har uttalat, kunde skrinläggas. </w:t>
      </w:r>
      <w:r>
        <w:rPr>
          <w:b/>
        </w:rPr>
        <w:t>Kvinnans¹</w:t>
      </w:r>
      <w:r>
        <w:rPr>
          <w:b w:val="0"/>
        </w:rPr>
        <w:t xml:space="preserve"> rätt till likställighet borde väl i detta nu vara så grundmurad, att </w:t>
      </w:r>
      <w:r>
        <w:rPr>
          <w:b/>
        </w:rPr>
        <w:t>kvinnor¹</w:t>
      </w:r>
      <w:r>
        <w:rPr>
          <w:b w:val="0"/>
        </w:rPr>
        <w:t xml:space="preserve"> borde tillförsäkras den förmånen, att så snart en </w:t>
      </w:r>
      <w:r>
        <w:rPr>
          <w:b/>
        </w:rPr>
        <w:t>kvinna¹</w:t>
      </w:r>
      <w:r>
        <w:rPr>
          <w:b w:val="0"/>
        </w:rPr>
        <w:t xml:space="preserve"> såsom part uppträder eller har ett intresse att bevaka inför domstol, </w:t>
      </w:r>
      <w:r>
        <w:rPr>
          <w:b/>
        </w:rPr>
        <w:t>hon²</w:t>
      </w:r>
      <w:r>
        <w:rPr>
          <w:b w:val="0"/>
        </w:rPr>
        <w:t xml:space="preserve"> skulle finna en </w:t>
      </w:r>
      <w:r>
        <w:rPr>
          <w:b/>
        </w:rPr>
        <w:t>kvinnlig¹</w:t>
      </w:r>
      <w:r>
        <w:rPr>
          <w:b w:val="0"/>
        </w:rPr>
        <w:t xml:space="preserve"> representant i själva domstolen. Det synes mig vara allt annat än konsekvent att förmoda, att denna omständighet skulle leda därhän, att en redan accepterad princip om likställighet skulle komma att äventyras.</w:t>
        <w:br/>
        <w:br/>
        <w:t xml:space="preserve">I själva verket är den fråga jag här har väckt inte någon behörighetsfråga, utan det gäller tillvaratagandet av ett praktiskt mänskligt intresse. Förhållandet gestaltar sig som bekant på det sättet, att de allra flesta </w:t>
      </w:r>
      <w:r>
        <w:rPr>
          <w:b/>
        </w:rPr>
        <w:t>kvinnor¹</w:t>
      </w:r>
      <w:r>
        <w:rPr>
          <w:b w:val="0"/>
        </w:rPr>
        <w:t xml:space="preserve"> med hänsyn till sin levnadsställning, vare sig de äro gifta eller ogifta, endast undantagsvis ha att befatta sig med livets yttre förhållanden. Särskilt om </w:t>
      </w:r>
      <w:r>
        <w:rPr>
          <w:b/>
        </w:rPr>
        <w:t>kvinnorna¹</w:t>
      </w:r>
      <w:r>
        <w:rPr>
          <w:b w:val="0"/>
        </w:rPr>
        <w:t xml:space="preserve"> äro gifta är det den inre hushållningen, hemmets värld som de äro inriktade på, och man varsnar detta framför allt i den situationen då en </w:t>
      </w:r>
      <w:r>
        <w:rPr>
          <w:b/>
        </w:rPr>
        <w:t>hustru²</w:t>
      </w:r>
      <w:r>
        <w:rPr>
          <w:b w:val="0"/>
        </w:rPr>
        <w:t xml:space="preserve"> blir </w:t>
      </w:r>
      <w:r>
        <w:rPr>
          <w:b/>
        </w:rPr>
        <w:t>änka²</w:t>
      </w:r>
      <w:r>
        <w:rPr>
          <w:b w:val="0"/>
        </w:rPr>
        <w:t xml:space="preserve"> och helt plötsligt blir ställd inför synnerligen svåra uppgifter, som det gäller för </w:t>
      </w:r>
      <w:r>
        <w:rPr>
          <w:b/>
        </w:rPr>
        <w:t>henne²</w:t>
      </w:r>
      <w:r>
        <w:rPr>
          <w:b w:val="0"/>
        </w:rPr>
        <w:t xml:space="preserve"> att kunna lösa. Dessa uppgifter äro i mycket stor utsträckning av formell art och ha med domstolar och legislativa ärenden att skaffa.</w:t>
        <w:br/>
        <w:br/>
        <w:t xml:space="preserve">Hur ofta har man icke lagt märke till att just när </w:t>
      </w:r>
      <w:r>
        <w:rPr>
          <w:b/>
        </w:rPr>
        <w:t>kvinnors¹</w:t>
      </w:r>
      <w:r>
        <w:rPr>
          <w:b w:val="0"/>
        </w:rPr>
        <w:t xml:space="preserve"> angelägenheter skola handläggas vid en domstol, så infinner sig gärna den </w:t>
      </w:r>
      <w:r>
        <w:rPr>
          <w:b/>
        </w:rPr>
        <w:t>kvinnliga¹</w:t>
      </w:r>
      <w:r>
        <w:rPr>
          <w:b w:val="0"/>
        </w:rPr>
        <w:t xml:space="preserve"> parten i förväg hos domaren för att — måhända beskäftigt och litet nervöst och såsom ett uttryck för </w:t>
      </w:r>
      <w:r>
        <w:rPr>
          <w:b/>
        </w:rPr>
        <w:t>hennes²</w:t>
      </w:r>
      <w:r>
        <w:rPr>
          <w:b w:val="0"/>
        </w:rPr>
        <w:t xml:space="preserve"> ovana vid domstolsförhållanden — lägga ut sin sak för att redan på förhand göra vederbörande domare förtrogna med </w:t>
      </w:r>
      <w:r>
        <w:rPr>
          <w:b/>
        </w:rPr>
        <w:t>hennes²</w:t>
      </w:r>
      <w:r>
        <w:rPr>
          <w:b w:val="0"/>
        </w:rPr>
        <w:t xml:space="preserve"> säregna förhållanden.</w:t>
        <w:br/>
        <w:br/>
        <w:t xml:space="preserve">Det synes mig här vara fråga om ett önskemål, som det allmänna bör tillmötesgå och visa förståelse för.« När en </w:t>
      </w:r>
      <w:r>
        <w:rPr>
          <w:b/>
        </w:rPr>
        <w:t>kvinna¹</w:t>
      </w:r>
      <w:r>
        <w:rPr>
          <w:b w:val="0"/>
        </w:rPr>
        <w:t xml:space="preserve"> kommer inför en domstol, ser </w:t>
      </w:r>
      <w:r>
        <w:rPr>
          <w:b/>
        </w:rPr>
        <w:t>hon²</w:t>
      </w:r>
      <w:r>
        <w:rPr>
          <w:b w:val="0"/>
        </w:rPr>
        <w:t xml:space="preserve"> endast män omkring sig. I domstolen sitta trots den i lag så att säga teoretiskt befästa likställigheten mellan könen praktiskt taget endast män. Åklagaren är en man, och i nittio fall av hundra är det en manlig advokat, </w:t>
      </w:r>
      <w:r>
        <w:rPr>
          <w:b/>
        </w:rPr>
        <w:t>hon²</w:t>
      </w:r>
      <w:r>
        <w:rPr>
          <w:b w:val="0"/>
        </w:rPr>
        <w:t xml:space="preserve"> har emot sig eller vid sin sida. De </w:t>
      </w:r>
      <w:r>
        <w:rPr>
          <w:b/>
        </w:rPr>
        <w:t>kvinnliga¹</w:t>
      </w:r>
      <w:r>
        <w:rPr>
          <w:b w:val="0"/>
        </w:rPr>
        <w:t xml:space="preserve"> advokaterna äro ju nämligen ytterligt sällsynta i landsorten. Själv kommer </w:t>
      </w:r>
      <w:r>
        <w:rPr>
          <w:b/>
        </w:rPr>
        <w:t>hon²</w:t>
      </w:r>
      <w:r>
        <w:rPr>
          <w:b w:val="0"/>
        </w:rPr>
        <w:t xml:space="preserve"> så med sina angelägenheter, som oftast gälla familjerättsmål av mycket grannlaga art. Stundom gäller det intima förhållanden, som i och för sig själva kunna vara av en helt enkelt avgörande betydelse för </w:t>
      </w:r>
      <w:r>
        <w:rPr>
          <w:b/>
        </w:rPr>
        <w:t>hennes²</w:t>
      </w:r>
      <w:r>
        <w:rPr>
          <w:b w:val="0"/>
        </w:rPr>
        <w:t xml:space="preserve"> livsintressen. Det gäller till exempel frågan om vem som skall ha vårdnaden om barnen, eller det är fråga om </w:t>
      </w:r>
      <w:r>
        <w:rPr>
          <w:b/>
        </w:rPr>
        <w:t>hennes²</w:t>
      </w:r>
      <w:r>
        <w:rPr>
          <w:b w:val="0"/>
        </w:rPr>
        <w:t xml:space="preserve"> rättigheter i förhållande till en make, från vilken </w:t>
      </w:r>
      <w:r>
        <w:rPr>
          <w:b/>
        </w:rPr>
        <w:t>hon²</w:t>
      </w:r>
      <w:r>
        <w:rPr>
          <w:b w:val="0"/>
        </w:rPr>
        <w:t xml:space="preserve"> skall skil- Jas, eller kan det vara fråga om att hålla efter en försumlig familjefader. eller vad det nu kan vara. Nog av, när </w:t>
      </w:r>
      <w:r>
        <w:rPr>
          <w:b/>
        </w:rPr>
        <w:t>kvinnan¹</w:t>
      </w:r>
      <w:r>
        <w:rPr>
          <w:b w:val="0"/>
        </w:rPr>
        <w:t xml:space="preserve"> kommer inför domstolen står </w:t>
      </w:r>
      <w:r>
        <w:rPr>
          <w:b/>
        </w:rPr>
        <w:t>hon²</w:t>
      </w:r>
      <w:r>
        <w:rPr>
          <w:b w:val="0"/>
        </w:rPr>
        <w:t xml:space="preserve"> på ett för </w:t>
      </w:r>
      <w:r>
        <w:rPr>
          <w:b/>
        </w:rPr>
        <w:t>henne²</w:t>
      </w:r>
      <w:r>
        <w:rPr>
          <w:b w:val="0"/>
        </w:rPr>
        <w:t xml:space="preserve"> tämligen främmande fält. Att </w:t>
      </w:r>
      <w:r>
        <w:rPr>
          <w:b/>
        </w:rPr>
        <w:t>hon²</w:t>
      </w:r>
      <w:r>
        <w:rPr>
          <w:b w:val="0"/>
        </w:rPr>
        <w:t xml:space="preserve"> skall vara bekajad av en alldeles extra nervositet, kan man nog förstå. Detta är för övrigt en sak, som man ser allt för ofta. Ännu så sent som under påskveckorna, då jag trädde i tjänst, inträffade en liten händelse, som mycket tydligt ådagalade detta förhållande. Det var en </w:t>
      </w:r>
      <w:r>
        <w:rPr>
          <w:b/>
        </w:rPr>
        <w:t>kvinna¹</w:t>
      </w:r>
      <w:r>
        <w:rPr>
          <w:b w:val="0"/>
        </w:rPr>
        <w:t xml:space="preserve">, som hade fått en stämning med yrkande om, att </w:t>
      </w:r>
      <w:r>
        <w:rPr>
          <w:b/>
        </w:rPr>
        <w:t>hon²</w:t>
      </w:r>
      <w:r>
        <w:rPr>
          <w:b w:val="0"/>
        </w:rPr>
        <w:t xml:space="preserve"> skulle beediga en bouppteckning. </w:t>
      </w:r>
      <w:r>
        <w:rPr>
          <w:b/>
        </w:rPr>
        <w:t>Hon²</w:t>
      </w:r>
      <w:r>
        <w:rPr>
          <w:b w:val="0"/>
        </w:rPr>
        <w:t xml:space="preserve"> kunde helt enkelt inte sova, varken dag eller natt, icke inför de faktiska svårigheter, som förelågo beträffande beedigandet, utan inför tanken på, att </w:t>
      </w:r>
      <w:r>
        <w:rPr>
          <w:b/>
        </w:rPr>
        <w:t>hon²</w:t>
      </w:r>
      <w:r>
        <w:rPr>
          <w:b w:val="0"/>
        </w:rPr>
        <w:t xml:space="preserve"> skulle uppträda inför en domstol. Man träffar ju även bland männen sådana som aldrig ha varit innanför en domstolslokals väggar, och detta är naturligtvis oftare fallet med </w:t>
      </w:r>
      <w:r>
        <w:rPr>
          <w:b/>
        </w:rPr>
        <w:t>kvinnor¹</w:t>
      </w:r>
      <w:r>
        <w:rPr>
          <w:b w:val="0"/>
        </w:rPr>
        <w:t>. Detta synes mig vara en sak av så pass betydelsefull psykologisk</w:t>
        <w:br/>
        <w:br/>
        <w:t xml:space="preserve">Ang. beredande åt </w:t>
      </w:r>
      <w:r>
        <w:rPr>
          <w:b/>
        </w:rPr>
        <w:t>kvinna¹</w:t>
      </w:r>
      <w:r>
        <w:rPr>
          <w:b w:val="0"/>
        </w:rPr>
        <w:t xml:space="preserve"> av säte och stämma i domstol vid handläggningen av vissa mål. (Forts.) art, att man bör ställa sig förstående gentemot det </w:t>
      </w:r>
      <w:r>
        <w:rPr>
          <w:b/>
        </w:rPr>
        <w:t>kvinnliga¹</w:t>
      </w:r>
      <w:r>
        <w:rPr>
          <w:b w:val="0"/>
        </w:rPr>
        <w:t xml:space="preserve"> kravet på, att i en domstol skall finnas någon av deras eget kön, som kan se deras angelägenheter och deras problem just ur en </w:t>
      </w:r>
      <w:r>
        <w:rPr>
          <w:b/>
        </w:rPr>
        <w:t>kvinnas¹</w:t>
      </w:r>
      <w:r>
        <w:rPr>
          <w:b w:val="0"/>
        </w:rPr>
        <w:t xml:space="preserve"> synvinkel. Detta är i stort sett de sakliga argument, som legat bakom denna motion.</w:t>
        <w:br/>
        <w:br/>
        <w:t xml:space="preserve">Men jag vill erinra även därom, att tiden ju i övrigt har visat sig mogen för en reform i denna riktning. I varje fattigvårdsstyrelse skall det numera obligatoriskt sitta åtminstone en </w:t>
      </w:r>
      <w:r>
        <w:rPr>
          <w:b/>
        </w:rPr>
        <w:t>kvinnlig¹</w:t>
      </w:r>
      <w:r>
        <w:rPr>
          <w:b w:val="0"/>
        </w:rPr>
        <w:t xml:space="preserve"> ledamot, och detsamma är fallet med barnavårdsoch nykterhetsnämnderna. Det är ju ofta nog </w:t>
      </w:r>
      <w:r>
        <w:rPr>
          <w:b/>
        </w:rPr>
        <w:t>kvinnliga¹</w:t>
      </w:r>
      <w:r>
        <w:rPr>
          <w:b w:val="0"/>
        </w:rPr>
        <w:t xml:space="preserve"> intressen, som därvidlag äro å färde. Skulle det då vara för mycket begärt, om även inom rättslivet, åtminstone uti underrätterna, ett beaktande av de </w:t>
      </w:r>
      <w:r>
        <w:rPr>
          <w:b/>
        </w:rPr>
        <w:t>kvinnliga¹</w:t>
      </w:r>
      <w:r>
        <w:rPr>
          <w:b w:val="0"/>
        </w:rPr>
        <w:t xml:space="preserve"> intressena kunde tillmötesgås i detta nu? Jag kan för min del inte finna att så skulle vara fallet.</w:t>
        <w:br/>
        <w:br/>
        <w:t>Nu kan naturligtvis ifrån utskottets sida svaras, att den här saken sker alldeles givet min bön förutan. Det uppges ju nämligen, att processlagberedningen redan under innevarande år — vilket jag i min motion också framhållit — kommer att framlägga förslag till ny rättegångsbalk och att den kommer att efterföljas av en lagstiftning, som avser sammansättningen av domstolarna. Då säger utskottet: »Vid den utredning angående specialmålens behandling, som torde bliva en följd av den allmänna processens ombildning, komma givetvis även de nyss anförda synpunkterna att ägnas behörig uppmärksamhet.»</w:t>
        <w:br/>
        <w:br/>
        <w:t xml:space="preserve">Jag tillåter mig emellertid att fästa uppmärksamheten på att det ämne, som jag här nu berör, är ett led i en mycket större fråga, den nämligen om folkligheten i domstolarna, om lekmannaelementets inflytande inte bara såsom nu är förhållandet vid våra lantdomstolar utan även vid stadsdomstolarna. I detta hänseende vill jag erinra därom, att vid behandlingen i riksdagen 1931 av grundlinjerna för den blivande processreformen frågan om lekmannaelementets representation var uppe och att dåvarande justitieministern uttalade sig för ett beaktande av de framförda önskemålen ifråga om lekmannaelementens representation. Jag vill ytterligare erinra om att denna kammare förklarade, att det syntes ofrånkomligt, att även städernas rättsskipning förr eller senare kompletterades med ett lekmannaelement. Givetvis kommer denna fråga upp när processlagberedningen skall framlägga sitt förslag angående domstolsorganisationen, men lika väl som denna kammare redan 1931 ansåg lämpligt att göra ett uttalande om att lekmannaelementen skulle förstärkas, lika väl vore det av vikt, eftersom frågan om </w:t>
      </w:r>
      <w:r>
        <w:rPr>
          <w:b/>
        </w:rPr>
        <w:t>kvinnornas¹</w:t>
      </w:r>
      <w:r>
        <w:rPr>
          <w:b w:val="0"/>
        </w:rPr>
        <w:t xml:space="preserve"> representation i domstolarna veterligen aldrig förut varit uppe i kammaren, att denna sade klart och tydligt ifrån, att den är intresserad av att så sker och inte endast komme med ett platoniskt uttalande, att den är förvissad om att även denna sida skall beaktas av processlagberedningen. Just i år, när man från auktoritativt håll beaktat </w:t>
      </w:r>
      <w:r>
        <w:rPr>
          <w:b/>
        </w:rPr>
        <w:t>kvinnornas¹</w:t>
      </w:r>
      <w:r>
        <w:rPr>
          <w:b w:val="0"/>
        </w:rPr>
        <w:t xml:space="preserve"> strävan att bli representerade i det offentliga livet och när vi från hans excellens herr statsministern fått höra offentligen uttalas önskvärdheten av att dessa intressen tillmötesgås, borde väl andra kammaren, den folkvalda, finna tiden vara inne för att säga ut åt </w:t>
      </w:r>
      <w:r>
        <w:rPr>
          <w:b/>
        </w:rPr>
        <w:t>kvinnorna¹</w:t>
      </w:r>
      <w:r>
        <w:rPr>
          <w:b w:val="0"/>
        </w:rPr>
        <w:t>, att den är intresserad av att deras problem tagas upp och deras inintressen tillvaratagas på det rätta sättet vid våra domstolar.</w:t>
        <w:br/>
        <w:br/>
        <w:t xml:space="preserve">Jag tillåter mig att citera ett par rader av vad herr statsministern framhöll. »Man måste», yttrade han, »komma ifrån själva frågeställningen </w:t>
      </w:r>
      <w:r>
        <w:rPr>
          <w:b/>
        </w:rPr>
        <w:t>kvinna¹</w:t>
      </w:r>
      <w:r>
        <w:rPr>
          <w:b w:val="0"/>
        </w:rPr>
        <w:t xml:space="preserve"> eller man och låta medborgarbegreppet komma till sin rätt. Inom en god demokrati måste man eftersträva att få ett så fulltonigt uttryck som möjligt för skiftningarna inom folket. Det är utan vidare klart, att </w:t>
      </w:r>
      <w:r>
        <w:rPr>
          <w:b/>
        </w:rPr>
        <w:t>kvinnorna¹</w:t>
      </w:r>
      <w:r>
        <w:rPr>
          <w:b w:val="0"/>
        </w:rPr>
        <w:t xml:space="preserve"> med sin ställning, sin erfarenhet, sitt känsloliv, ha något av särskilt värde att ge det offentliga livet. Det är därför klart, att </w:t>
      </w:r>
      <w:r>
        <w:rPr>
          <w:b/>
        </w:rPr>
        <w:t>kvinnorna¹</w:t>
      </w:r>
      <w:r>
        <w:rPr>
          <w:b w:val="0"/>
        </w:rPr>
        <w:t xml:space="preserve"> ha särskilda förut-</w:t>
        <w:br/>
        <w:br/>
        <w:t xml:space="preserve">av vissa mål. (Forts.) sättningar att fylla vissa uppgifter. Det måste sörjas för att de värden de representera tillvaratagas i samhällsarbetet, och framför allt bör man komma ihåg, att </w:t>
      </w:r>
      <w:r>
        <w:rPr>
          <w:b/>
        </w:rPr>
        <w:t>kvinnorna¹</w:t>
      </w:r>
      <w:r>
        <w:rPr>
          <w:b w:val="0"/>
        </w:rPr>
        <w:t xml:space="preserve"> utgöra ett väldigt medborgarskikt, vars aktiva medverkan även i de allmänna representationerna helt enkelt icke kan undvaras, om man vill ha ett helgjutet uttryck för folket.»</w:t>
      </w:r>
    </w:p>
    <w:p>
      <w:pPr>
        <w:pStyle w:val="Heading2"/>
      </w:pPr>
      <w:r>
        <w:t>3. Thorwald Bergquist (Folkpartiet, man)</w:t>
      </w:r>
    </w:p>
    <w:p>
      <w:r>
        <w:rPr>
          <w:b w:val="0"/>
        </w:rPr>
        <w:t>Herr talman! Den ärade motionären gav åt första lagutskottets utlåtande en tolkning, som i viss mån tillfredsställde honom. Herr Dahlbäck deklarerade nämligen, att han funnit, att första lagutskottets utlåtande icke innehåller något avståndstagande från de synpunkter han framfört i sin motion. Det är riktigt; första lagutskottet har icke sagt något om den saken. Utskottet har endast undersökt, huruvida det fanns någon anledning att på grund av motionen begära en skrivelse till Kungl. Maj:t i frågan, och vid sin prövning härav har utskottet ansett det icke vara erforderligt att påkalla någon åtgärd.</w:t>
        <w:br/>
        <w:br/>
        <w:t xml:space="preserve">Jag vill utöver vad första lagutskottet anfört i sitt utlåtande endast rent personligt tillägga några synpunkter. Jag måste säga, att min erfarenhet som domare ganska väsentligt avviker från herr Dahlbäcks. Jag har under de år jag tjänstgjort i underrätt icke fått någon starkare känsla av att det skulle vara ett önskemål från </w:t>
      </w:r>
      <w:r>
        <w:rPr>
          <w:b/>
        </w:rPr>
        <w:t>kvinnohåll¹</w:t>
      </w:r>
      <w:r>
        <w:rPr>
          <w:b w:val="0"/>
        </w:rPr>
        <w:t xml:space="preserve">, att det skulle finnas </w:t>
      </w:r>
      <w:r>
        <w:rPr>
          <w:b/>
        </w:rPr>
        <w:t>kvinnliga¹</w:t>
      </w:r>
      <w:r>
        <w:rPr>
          <w:b w:val="0"/>
        </w:rPr>
        <w:t xml:space="preserve"> ledamöter i domstolarna så fort en </w:t>
      </w:r>
      <w:r>
        <w:rPr>
          <w:b/>
        </w:rPr>
        <w:t>kvinna¹</w:t>
      </w:r>
      <w:r>
        <w:rPr>
          <w:b w:val="0"/>
        </w:rPr>
        <w:t xml:space="preserve"> är part i ett mål. Det är riktigt vad herr Dahlbäck anför om att det ofta, särskilt i familjerättsmål och dylika mål, förekommer ganska intima frågor, som domstolarna skola behandla. Men enligt min uppfattning kommer det då icke an på huruvida det sitter en man eller en </w:t>
      </w:r>
      <w:r>
        <w:rPr>
          <w:b/>
        </w:rPr>
        <w:t>kvinna¹</w:t>
      </w:r>
      <w:r>
        <w:rPr>
          <w:b w:val="0"/>
        </w:rPr>
        <w:t xml:space="preserve"> i domstolen, utan allt kommer an på huruvida den som leder förhandlingarna kan göra detta med takt och omdöme. Kan han det, är det fullkomligt likgiltigt, om det är man eller </w:t>
      </w:r>
      <w:r>
        <w:rPr>
          <w:b/>
        </w:rPr>
        <w:t>kvinna¹</w:t>
      </w:r>
      <w:r>
        <w:rPr>
          <w:b w:val="0"/>
        </w:rPr>
        <w:t xml:space="preserve">. Kan han det icke, hjälper det icke, om det sitter en </w:t>
      </w:r>
      <w:r>
        <w:rPr>
          <w:b/>
        </w:rPr>
        <w:t>kvinna¹</w:t>
      </w:r>
      <w:r>
        <w:rPr>
          <w:b w:val="0"/>
        </w:rPr>
        <w:t xml:space="preserve"> med i rätten. Herr Dahlbäck nämnde, att det är otrevligt och svårt för </w:t>
      </w:r>
      <w:r>
        <w:rPr>
          <w:b/>
        </w:rPr>
        <w:t>kvinnor¹</w:t>
      </w:r>
      <w:r>
        <w:rPr>
          <w:b w:val="0"/>
        </w:rPr>
        <w:t xml:space="preserve"> att uppträda inför rätta och att det ofta hos dem skapas en känsla av nervositet och oro. Men detta gäller visst icke bara </w:t>
      </w:r>
      <w:r>
        <w:rPr>
          <w:b/>
        </w:rPr>
        <w:t>kvinnorna¹</w:t>
      </w:r>
      <w:r>
        <w:rPr>
          <w:b w:val="0"/>
        </w:rPr>
        <w:t>. Mycket ofta händer det att personer, som icke förr upp-</w:t>
        <w:br/>
        <w:br/>
        <w:t xml:space="preserve">trätt inför domstol, känna ett visst obehag då de första gången skola inställa sig där. Herr Dahlbäck tog ett drastiskt exempel och talade om en </w:t>
      </w:r>
      <w:r>
        <w:rPr>
          <w:b/>
        </w:rPr>
        <w:t>kvinna¹</w:t>
      </w:r>
      <w:r>
        <w:rPr>
          <w:b w:val="0"/>
        </w:rPr>
        <w:t xml:space="preserve">, som skulle företräda inför rätta och som icke kunnat sova på flera nätter förut bara av oro för vad som skulle hända. Jag är för min del övertygad om, att även om den </w:t>
      </w:r>
      <w:r>
        <w:rPr>
          <w:b/>
        </w:rPr>
        <w:t>kvinnan¹</w:t>
      </w:r>
      <w:r>
        <w:rPr>
          <w:b w:val="0"/>
        </w:rPr>
        <w:t xml:space="preserve"> hade haft att räkna med att det skulle sitta en </w:t>
      </w:r>
      <w:r>
        <w:rPr>
          <w:b/>
        </w:rPr>
        <w:t>kvinna¹</w:t>
      </w:r>
      <w:r>
        <w:rPr>
          <w:b w:val="0"/>
        </w:rPr>
        <w:t xml:space="preserve"> med i domstolen, det icke hade gjort </w:t>
      </w:r>
      <w:r>
        <w:rPr>
          <w:b/>
        </w:rPr>
        <w:t>hennes²</w:t>
      </w:r>
      <w:r>
        <w:rPr>
          <w:b w:val="0"/>
        </w:rPr>
        <w:t xml:space="preserve"> nattsömn bättre, utan att </w:t>
      </w:r>
      <w:r>
        <w:rPr>
          <w:b/>
        </w:rPr>
        <w:t>hon²</w:t>
      </w:r>
      <w:r>
        <w:rPr>
          <w:b w:val="0"/>
        </w:rPr>
        <w:t xml:space="preserve"> hade känt samma oro ändå. För övrigt är det ju så, att </w:t>
      </w:r>
      <w:r>
        <w:rPr>
          <w:b/>
        </w:rPr>
        <w:t>kvinnor¹</w:t>
      </w:r>
      <w:r>
        <w:rPr>
          <w:b w:val="0"/>
        </w:rPr>
        <w:t xml:space="preserve"> inför domstol" nästan undantagslöst åtföljas av advokater, antingen manliga eller FR, som tillvarataga deras intressen och se till att deras synpunkter bli</w:t>
        <w:br/>
        <w:br/>
        <w:t xml:space="preserve">Herr Dahlbäck framhöll också, att man icke skall ha frågeställningen </w:t>
      </w:r>
      <w:r>
        <w:rPr>
          <w:b/>
        </w:rPr>
        <w:t>kvinna¹</w:t>
      </w:r>
      <w:r>
        <w:rPr>
          <w:b w:val="0"/>
        </w:rPr>
        <w:t xml:space="preserve"> eller man, och åberopade ett uttalande av hans excellens herr statsministern. Jag anser, att detta är alldeles riktigt. Men som herr Dahlbäck lagt upp denna fråga, få vi just ett sådant motsatsförhållande mellan man och </w:t>
      </w:r>
      <w:r>
        <w:rPr>
          <w:b/>
        </w:rPr>
        <w:t>kvinna¹</w:t>
      </w:r>
      <w:r>
        <w:rPr>
          <w:b w:val="0"/>
        </w:rPr>
        <w:t xml:space="preserve">, eftersom han vill hävda, att så fort vi ha en </w:t>
      </w:r>
      <w:r>
        <w:rPr>
          <w:b/>
        </w:rPr>
        <w:t>kvinna¹</w:t>
      </w:r>
      <w:r>
        <w:rPr>
          <w:b w:val="0"/>
        </w:rPr>
        <w:t xml:space="preserve"> som part, skola vi ha en </w:t>
      </w:r>
      <w:r>
        <w:rPr>
          <w:b/>
        </w:rPr>
        <w:t>kvinna¹</w:t>
      </w:r>
      <w:r>
        <w:rPr>
          <w:b w:val="0"/>
        </w:rPr>
        <w:t xml:space="preserve"> med i domstolen. För min del anser jag, att det icke finns något behov av någon särskild lagstiftning på detta område. I den mån </w:t>
      </w:r>
      <w:r>
        <w:rPr>
          <w:b/>
        </w:rPr>
        <w:t>kvinnorna¹</w:t>
      </w:r>
      <w:r>
        <w:rPr>
          <w:b w:val="0"/>
        </w:rPr>
        <w:t xml:space="preserve"> komma fram på domarbanan ha vi ingenting att erinra mot att de få säte och stämma i domstolarna. Det finns inga lagliga hinder mot den saken; den får reglera sig själv, och det naturliga urvalet får där göra sig gällande.</w:t>
        <w:br/>
        <w:br/>
        <w:t>Jag ber, herr talman, att få yrka bifall till utskottets hemställan.</w:t>
      </w:r>
    </w:p>
    <w:p>
      <w:pPr>
        <w:pStyle w:val="Heading2"/>
      </w:pPr>
      <w:r>
        <w:t>4. Oscar Dahlbäck (Folkpartiet, man)</w:t>
      </w:r>
    </w:p>
    <w:p>
      <w:r>
        <w:rPr>
          <w:b w:val="0"/>
        </w:rPr>
        <w:t>Herr talman! Jag skall endast be att få framhålla ett par synpunkter.</w:t>
        <w:br/>
        <w:br/>
        <w:t xml:space="preserve">När det här av vice ordföranden i första lagutskottet framhållits, att något önskemål från </w:t>
      </w:r>
      <w:r>
        <w:rPr>
          <w:b/>
        </w:rPr>
        <w:t>kvinnohåll¹</w:t>
      </w:r>
      <w:r>
        <w:rPr>
          <w:b w:val="0"/>
        </w:rPr>
        <w:t xml:space="preserve"> icke uttalats i detta hänseende, kan jag mycket väl vitsorda, att icke heller jag känner till, att man från speciellt </w:t>
      </w:r>
      <w:r>
        <w:rPr>
          <w:b/>
        </w:rPr>
        <w:t>kvinnosakshåll¹</w:t>
      </w:r>
      <w:r>
        <w:rPr>
          <w:b w:val="0"/>
        </w:rPr>
        <w:t xml:space="preserve"> uttalat något önskemål i den riktningen. Men detta beror enligt min uppfattning och erfarenhet på att dessa speciella </w:t>
      </w:r>
      <w:r>
        <w:rPr>
          <w:b/>
        </w:rPr>
        <w:t>kvinnosakskvinnor¹</w:t>
      </w:r>
      <w:r>
        <w:rPr>
          <w:b w:val="0"/>
        </w:rPr>
        <w:t xml:space="preserve"> ha så ytterligt litet med vår justice att göra. Deras intresse går ut på att de skola bli representerade i stadsfullmäktige och litet varstans, där de överhuvud taget kunna placera sig själva, men den som beaktar de önskemål, som finnas hos </w:t>
      </w:r>
      <w:r>
        <w:rPr>
          <w:b/>
        </w:rPr>
        <w:t>kvinnliga¹</w:t>
      </w:r>
      <w:r>
        <w:rPr>
          <w:b w:val="0"/>
        </w:rPr>
        <w:t xml:space="preserve"> rättssökande — och det av mycket skiftande karaktär — kan icke undgå att varsna, att det råder ett mycket starkt intresse för att alla de förhållanden bortellimineras, som äro ägnade att framkalla brist på förståelse eller nervositet, när det gäller våra domstolar. Meningen är ju, att vi skola göra domstolarna så folkliga och så tilltalande, att ingen på grund av obekantskap med domstolsförhållandena skall behöva känna obehag. Att jag drog fram det nämnda exemplet, som f. ö. ligger mycket nära tillbaka i tiden, kan icke 1 och för sig vara anmärkningsvärt. Det var endast ett uttryck för vad som förekommer till vardags. </w:t>
      </w:r>
      <w:r>
        <w:rPr>
          <w:b/>
        </w:rPr>
        <w:t>Kvinnorna¹</w:t>
      </w:r>
      <w:r>
        <w:rPr>
          <w:b w:val="0"/>
        </w:rPr>
        <w:t xml:space="preserve"> äro i mycket hög grad nervösa — i mycket högre grad än männen — när det gäller att komma inför domstolarna, och det är icke alla gånger de i en sådan situation som den jag berörde kunna ha advokat med sig. Jag tror, att vi måste beakta de psykologiska synpunkterna. Vi böra icke poängtera något motsatsförhållande mellan män och </w:t>
      </w:r>
      <w:r>
        <w:rPr>
          <w:b/>
        </w:rPr>
        <w:t>kvinnor¹</w:t>
      </w:r>
      <w:r>
        <w:rPr>
          <w:b w:val="0"/>
        </w:rPr>
        <w:t xml:space="preserve">, säger herr Bergquist; men det skulle jag ha gjort med min motion. Nej, så ligger saken icke till. Men låta vi allt förbli vid vad det är, kommer praktiskt taget icke någon </w:t>
      </w:r>
      <w:r>
        <w:rPr>
          <w:b/>
        </w:rPr>
        <w:t>kvinna¹</w:t>
      </w:r>
      <w:r>
        <w:rPr>
          <w:b w:val="0"/>
        </w:rPr>
        <w:t xml:space="preserve"> att sitta i våra domstolar, och vi bli alltjämt i samma situation som för närvarande. Något bör göras för att tillmötesgå de </w:t>
      </w:r>
      <w:r>
        <w:rPr>
          <w:b/>
        </w:rPr>
        <w:t>kvinnliga¹</w:t>
      </w:r>
      <w:r>
        <w:rPr>
          <w:b w:val="0"/>
        </w:rPr>
        <w:t xml:space="preserve"> intressena i detta hänseende.</w:t>
      </w:r>
    </w:p>
    <w:p>
      <w:pPr>
        <w:pStyle w:val="Heading2"/>
      </w:pPr>
      <w:r>
        <w:t>5. Vilhelm Lundstedt (Socialdemokraterna, man)</w:t>
      </w:r>
    </w:p>
    <w:p>
      <w:r>
        <w:rPr>
          <w:b w:val="0"/>
        </w:rPr>
        <w:t>Herr talman! Intet tvivel kan råda därom, att motionen är värd synnerligt beaktande. Ett bifall till motionen skulle emellertid leda till lagstiftning angående vissa förhållanden, som ryckts loss från det större sammanhang, dit de höra. Jag vill icke bestrida, att en sådan metod understundom kan vara rekommendabel. Jag vill icke ens direkt bestrida, att den vore rekommendabel i förevarande fall. Men jag är ingalunda övertygad därom utan hyser i sådant avseende en viss tvekan. Om jag skall angiva grunden för min tvekan, så blir det nödvändigt för mig att beröra förhållanden, som blott ha medelbart sammanhang med det, som beröres i motionen.</w:t>
        <w:br/>
        <w:br/>
        <w:t>Statens eller kommunens ansvar för skada å den enskilde genom tjänstemäns handlingar kan förekomma i snart sagt alla möjliga situationer. Utskottets ärade fungerande ordförande har generaliserat den i motionen framförda synpunkten till att avse det allmännas ansvar icke blott för överförmyndare utan för alla organ, vilka omhänderhava eller kontrollera medel. Det säger sig emellertid självt, att generaliseringen kan gå vidare. Landet är i behov av en reglering av det allmännas ansvar, t. ex. för skada, som en domstol tillfogar den enskilde genom olagliga domar, för skada som en överordnad i det militära eller det civila tillfogar en underordnad eller en utomstående genom olämpliga order, eller för skada, som överhuvud drabbar den enskilde på grund av handlingar av i statens eller kommunens tjänst anställda personer.</w:t>
        <w:br/>
        <w:br/>
        <w:t>. Vilka rättsprinciper som på hela detta område böra gälla är självfallet en</w:t>
        <w:br/>
        <w:br/>
        <w:t>mycket viktig fråga. Men den är också utomordentligt svår, och — vad jag vill komma till — den frågan kan icke på tillfredsställande sätt utredas, förrän man har en verklig insikt angående de principer, som böra behärska den motsvarande civila skadeståndsrätten. Man skiljer visserligen mellan och måste skilja mellan förvaltningsrätt och civilrätt. Och även på förevarande område måste rättsprinciperna nog i mångt och mycket skilja sig åt, allt efter som förvaltningen eller livet därutanför är i fråga. Men å andra sidan måste just här grundtankar och vetenskaplig metod ofta vara desamma. Det är ju tydligt, att de resultat, vartill man kan komma i fråga om t. ex. en industriledares eller annan affärsföretagares ansvar för skada, som genom hans folk tillfogas vare sig andra i hans tjänst eller utanför företaget stående personer, måste få antingen direkt eller indirekt betydelse för åtskilliga av de situationer, i vilka fråga uppkommer om det allmännas ansvar för förluster och annan skada, som tillfogats den enskilde, vare sig denne därvid utövade tjänst eller icke.</w:t>
        <w:br/>
        <w:br/>
        <w:t>När det nu gäller att taga ståndpunkt till motionen, särskilt utskottsreservationen, måste tvenne anmärkningar göras. Den ena anmärkningen är mycket kort och lyder så: Det ligger i sakens natur, att den förvaltningsrättsliga skadeståndsrätten influeras av de civilrättsliga principerna. Den andra anmärkningen går ut därpå, att den civilrättsliga skadeståndsrätten befinner sig i ett ytterligt förvirrat läge. Denna anmärkning önskar jag ytterligare säga några ord om.</w:t>
        <w:br/>
        <w:br/>
        <w:t>Inom den civila skadeståndsrätten har man dels ansvar efter skuldregeln, som innebär, att man blir skadeståndsskyldig, om man genom handlingen ådragit sig skuld till skadan, och dels ansvar utan den ansvariges skuld, av mig här kallat det strikta ansvaret. Det är uppenbarligen det strikta ansvaret, d. v. s. ansvaret oberoende av den ansvariges egen skuld, som ifrågakommer såsom förebild till det allmännas ansvar gentemot de enskilda. Nu är det emellertid så, att uppfattningen om skulden såsom grund till ansvaret efter skuldregeln blivit indirekt bestämmande jämväl för utbildningen av läran om det strikta ansvaret. Då idén om skulden såsom rättfärdigande plikten att ersätta skadan bevisligen är rent oförnuftig, förstår man, av vad jag nu nämn- 2 att jämväl läran om det strikta ansvaret har kommit in 1 oriktiga ström-</w:t>
        <w:br/>
        <w:br/>
        <w:t xml:space="preserve">Den ledande s. k. principen har här blivit, att man ansvarar för skada som är en följd av farlig verksamhet. Denna princip kan man i verkligheten aldrig begagna sig av, utan man låter sig i all hemlighet ledas av helt andra synpunkter. När man så enligt dessa synpunkter övertygat sig om, att skadeståndsskyldighet bör föreligga, så säger man, att skadan varit en följd av farlig verksamhet. De mest barocka spetsfundigheter bli följden av detta tillvägagångssätt. Om t. ex. en person eller egendom skadas genom nedfallande snöblock, istappar eller tegelpannor från ett hustak, så motiverar man husägarens ansvarighet därmed, att han bedriver en farlig verksamhet genom att äga ett hus. Om ett </w:t>
      </w:r>
      <w:r>
        <w:rPr>
          <w:b/>
        </w:rPr>
        <w:t>hembiträde³</w:t>
      </w:r>
      <w:r>
        <w:rPr>
          <w:b w:val="0"/>
        </w:rPr>
        <w:t xml:space="preserve"> slarvar, så att tredjeman därigenom kommer till skada, så skall husbonden nu bli ansvarig därför att det är farlig verksamhet att hålla sig med </w:t>
      </w:r>
      <w:r>
        <w:rPr>
          <w:b/>
        </w:rPr>
        <w:t>hembiträden³</w:t>
      </w:r>
      <w:r>
        <w:rPr>
          <w:b w:val="0"/>
        </w:rPr>
        <w:t xml:space="preserve">! En sak för sig är naturligtvis, att det kan vara farligt att införa vackra </w:t>
      </w:r>
      <w:r>
        <w:rPr>
          <w:b/>
        </w:rPr>
        <w:t>hembiträden³</w:t>
      </w:r>
      <w:r>
        <w:rPr>
          <w:b w:val="0"/>
        </w:rPr>
        <w:t xml:space="preserve"> i familjen. Men det är icke den faran, som herrar rättsvetenskapsmän ha i sikte.</w:t>
        <w:br/>
        <w:br/>
        <w:t>Det strikta ansvaret har fått sin främsta utbildning i Frankrike. Den franska läran anses numera också vara att taga till mönster för den civiliserade världen i övrigt. Också har skolastiken här drivits till sina allra yttersta gränser. Då den franska juridiken direkt till civilrätten hänför jämväl det</w:t>
        <w:br/>
        <w:br/>
        <w:t>staten och kommunen åvilande strikta ansvaret i en mängd fall, anser jag det vara motiverat att giva några provbitar ur den mångbesjungna franska läran. När den franska staten ansvarar för skada, som en person lider genom att ha blivit oskyldigt dömd, så motiveras detta därmed, att staten genom sin domstolsorganisation har tillskapat en särskild »risque judiciaire» för människorna i samhället. Samhällsbegreppet innesluter ju i sig förutsättningen av en domstolsorganisation! Idén att samhället skulle ansvara för risker, som genom samhället skapades, blir meningslös, så snart man söker föreställa sig, vad människorna vore utan samhället. Lika kuriös är »le risque social», d. v. s. att det allmännas ersättning till personer, som skadats vid upplopp eller liknande folkskockningar, skulle vara motiverad av den risk i sådant avseende, som samhället självt skapat för människorna. Vore tanken riktig, så skulle det allmänna få svara för varenda skada, som drabbar en människa, därför nämligen, att intet som sker 1 samhället vore tänkbart utan detta. Det är samhällsorganisationen, som möjliggör det liv människorna föra 1 samhället. Utan detta skulle människorna gå under. Dessa nyss apostroferade rättstankar äro därför lika orimliga, som om man läte räddaren av en människa i sjönöd bli skadeståndsskyldig för den livräddades skada vid själva upptagandet i båten och, märk väl, under den motiveringen, att räddaren genom att gå ut i båten till den nödställde skapat en särskild risk för denne att bli skadad genom båten. Det rör sig alls icke därom, att räddaren skulle ha varit vårdslös vid räddningshandlingen. — Jag skulle faktiskt hur länge som helst kunna hålla på med en exemplifiering av dessa lustigheter, för att icke använda ett annat ord, från vetenskapen om skadeståndsrätten, men det sagda får vara nog.</w:t>
        <w:br/>
        <w:br/>
        <w:t>Här lagreformeras mycket i vårt land, men reformerna ske stundom i den galna ändan. En reform av reformerna kommer småningom att visa sig erforderlig på vissa områden. Skadeståndsrätten, det centrala inom obligationsrätten, har man ännu icke börjat reformera. Jag har med mitt anförande velat förebygga, att man jämväl på detta område, som jag representerar vid universitetet, skall börja att reformera i den galna ändan. Jag medger gärna, att den av herr Bergquist uppställda reservationen genom sin bestämda begränsning till frågan om ansvar blott för medel synes jämväl mig vara möjlig att ansluta sig till utan någon risk för ett ovarsamt föregripande av hela det stora problemet om det strikta ansvaret. Om en sådan reservation antages, blir jag därför ingalunda olycklig, utan tager det med största jämnmod. När jag i utskottet icke förenade mig med dess fungerande ordförande, så berodde detta endast därpå, att jag icke var alldeles övertygad om, att ett lagarbete efter den linjen är möjligt att utföra utan att taga ståndpunkt till frågan om det strikta ansvaret i allmänhet. Ett sådant ståndpunktstagande är visserligen starkt av behovet påkallat i vårt land. Men detta ståndpunktstagande måste ske i ett stort sammanhang, som så mycket som möjligt garanterar en allsidig och grundlig diskussion av hithörande lika intrikata som för samhällscekonomien utomordentligt viktiga rättsproblem. Jag kan gärna tillägga, att detta anförande jämväl är att betrakta såsom ett uttryck för min skyldighet att begagna tillfället för att rikta riksdagens uppmärksamhet på denna högviktiga civilrättsliga lagstiftningsfråga. Själv har jag dock inga som helst aspirationer på att komma med i ett sådant utredningsarbete.</w:t>
        <w:br/>
        <w:br/>
        <w:t>Beträffande den föreliggande motionen gör jag intet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2145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