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2156</w:t>
      </w:r>
    </w:p>
    <w:p>
      <w:r>
        <w:rPr>
          <w:b/>
        </w:rPr>
        <w:t xml:space="preserve">Datum: </w:t>
      </w:r>
      <w:r>
        <w:t>1938-05-20</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Ivar Österström (Folkpartiet, man)</w:t>
      </w:r>
    </w:p>
    <w:p>
      <w:r>
        <w:rPr>
          <w:b w:val="0"/>
        </w:rPr>
        <w:t xml:space="preserve">Herr talman! Det var ju en fruktansvärd salva, som </w:t>
      </w:r>
      <w:r>
        <w:rPr>
          <w:b/>
        </w:rPr>
        <w:t>fröken²</w:t>
      </w:r>
      <w:r>
        <w:rPr>
          <w:b w:val="0"/>
        </w:rPr>
        <w:t xml:space="preserve"> Andersson avfyrade emot såväl Kungl. Maj:t, som har lagt fram propositionen, som också utskottet. När </w:t>
      </w:r>
      <w:r>
        <w:rPr>
          <w:b/>
        </w:rPr>
        <w:t>hon²</w:t>
      </w:r>
      <w:r>
        <w:rPr>
          <w:b w:val="0"/>
        </w:rPr>
        <w:t xml:space="preserve"> säger, att </w:t>
      </w:r>
      <w:r>
        <w:rPr>
          <w:b/>
        </w:rPr>
        <w:t>hon²</w:t>
      </w:r>
      <w:r>
        <w:rPr>
          <w:b w:val="0"/>
        </w:rPr>
        <w:t xml:space="preserve"> ändock uttalade sig med en viss försiktighet mot vad </w:t>
      </w:r>
      <w:r>
        <w:rPr>
          <w:b/>
        </w:rPr>
        <w:t>hon²</w:t>
      </w:r>
      <w:r>
        <w:rPr>
          <w:b w:val="0"/>
        </w:rPr>
        <w:t xml:space="preserve"> borde göra, tänker jag med en viss fasa på vad det skulle inneburit, om </w:t>
      </w:r>
      <w:r>
        <w:rPr>
          <w:b/>
        </w:rPr>
        <w:t>hon²</w:t>
      </w:r>
      <w:r>
        <w:rPr>
          <w:b w:val="0"/>
        </w:rPr>
        <w:t xml:space="preserve"> inte iakttagit denna särskilda försiktighet. Emellertid är det en liten tröst både för Kungl. Maj:t, närmast socialministern, och utskottet, att </w:t>
      </w:r>
      <w:r>
        <w:rPr>
          <w:b/>
        </w:rPr>
        <w:t>hon²</w:t>
      </w:r>
      <w:r>
        <w:rPr>
          <w:b w:val="0"/>
        </w:rPr>
        <w:t xml:space="preserve"> och </w:t>
      </w:r>
      <w:r>
        <w:rPr>
          <w:b/>
        </w:rPr>
        <w:t>hennes²</w:t>
      </w:r>
      <w:r>
        <w:rPr>
          <w:b w:val="0"/>
        </w:rPr>
        <w:t xml:space="preserve"> medreservant inte ha lyckats övertyga några flera inom utskottet under behandlingen av detta ärende.</w:t>
        <w:br/>
        <w:br/>
      </w:r>
      <w:r>
        <w:rPr>
          <w:b/>
        </w:rPr>
        <w:t>Fröken²</w:t>
      </w:r>
      <w:r>
        <w:rPr>
          <w:b w:val="0"/>
        </w:rPr>
        <w:t xml:space="preserve"> Andersson säger, att </w:t>
      </w:r>
      <w:r>
        <w:rPr>
          <w:b/>
        </w:rPr>
        <w:t>hon²</w:t>
      </w:r>
      <w:r>
        <w:rPr>
          <w:b w:val="0"/>
        </w:rPr>
        <w:t xml:space="preserve"> begriper inte, hur en länsnykterhetsnämnd skall kunna göra något mera än den lokala nämnden och vara effektivare än denna. Det förstår jag, att </w:t>
      </w:r>
      <w:r>
        <w:rPr>
          <w:b/>
        </w:rPr>
        <w:t>fröken²</w:t>
      </w:r>
      <w:r>
        <w:rPr>
          <w:b w:val="0"/>
        </w:rPr>
        <w:t xml:space="preserve"> Andersson inte förstår, men för oss, som ansluta oss till Kungl. Maj:ts förslag, är det alldeles uppenbart, att den lokala nämnden lider av sådana svagheter, som helt enkelt inte kunna uppvägas ens av det allra bästa personval. Det rör sig här i en massa fall om angelägenheter, som äro ytterligt ömtåliga att handlägga med kraft och konsekvens för människor exempelvis i en liten kommun, där de flesta känna varandra, och det är inte så svårt att förstå, att det under sådana förhållanden kan brista i fasthet, när det gäller att tillämpa den lag vi ha. Om </w:t>
      </w:r>
      <w:r>
        <w:rPr>
          <w:b/>
        </w:rPr>
        <w:t>fröken²</w:t>
      </w:r>
      <w:r>
        <w:rPr>
          <w:b w:val="0"/>
        </w:rPr>
        <w:t xml:space="preserve"> Andersson bemödade sig en smula, tror jag verkligen, att det skulle vara möjligt för </w:t>
      </w:r>
      <w:r>
        <w:rPr>
          <w:b/>
        </w:rPr>
        <w:t>henne²</w:t>
      </w:r>
      <w:r>
        <w:rPr>
          <w:b w:val="0"/>
        </w:rPr>
        <w:t xml:space="preserve"> att begripa, att dessa svagheter äro ganska naturliga och ge sig själva, så att säga.</w:t>
        <w:br/>
        <w:br/>
        <w:t>Kungl. Maj:ts förslag i propositionen är väl avvägt, såvitt jag förstår, och den kritik som är riktad emot den kan tagas med ro, inte minst därför att, mig veterligt, har det inte ställts ett enda förslag i de omstridda detaljerna, som på något sätt är bättre än den kungl. propositionens förslag. Om man t. ex. tänker på uppslaget med konsulenterna, förhåller det sig så, att varken motionären eller de som ha yttrat sig om det förslag som nu ligger till grund för propositionen eller reservanterna i utskottet ha förmått att utforma detta uppslag på ett sådant sätt, att det har tett sig acceptabelt. Det finns faktiskt inte någon som helst anledning att tro, att detta uppslag med konsulentverksamheten i något enda avseende skulle ge ett bättre resultat än länsnykterhetsnämnderna.</w:t>
        <w:br/>
        <w:br/>
        <w:t>Det är ju givet, att om dessa länsnykterhetsnämnder skola få den betydelse som jag föreställer mig, att även socialministern avser, att de skola ha, blir det inte möjligt att låta dem sammanträda endast 4 gånger om året. Jag förmenar, att i massor av fall måste det bli ett arbete av helt annan karaktär och oerhört mycket mera intensifierat än vad de nämnda 4 sammanträdena möjliggöra. Jag skulle vilja lägga herr socialministern varmt om hjärtat, att han betänker, att det måste ställas så rikliga medel till förfogande för denna verksamhet, att verksamheten blir vad man har avsett i propositionen och som de ursprungliga förslagsställarna och även andra lagutskottet förutsätter. Jag fruktar därför, att man måste korrigera kostnadsberäkningarna, som naturligtvis äro i allra högsta grad preliminära och både kunna och måste justeras efter den erfarenhet som man vinner.</w:t>
        <w:br/>
        <w:br/>
        <w:t xml:space="preserve">I likhet med </w:t>
      </w:r>
      <w:r>
        <w:rPr>
          <w:b/>
        </w:rPr>
        <w:t>fröken²</w:t>
      </w:r>
      <w:r>
        <w:rPr>
          <w:b w:val="0"/>
        </w:rPr>
        <w:t xml:space="preserve"> Andersson skall jag avstå från att gå in på en massa intressanta detaljer i detta sammanhang. Jag slår bara ännu en gång fast, att den kungl. propositionen är ifrån utskottets utgångspunkter och ifrån de synpunkter, som de som arbeta på detta område anlägga — jag höll på att säga de som äro intresserade, men det vore för mycket sagt, jag vill nämligen inte säga någon oförsynthet härvidlag, ty jag tror, att alla äro intresserade för alkoholistvården — väl avvägd och innehåller vad man för närvarande kan komma fram till i fråga om effektivitet.</w:t>
      </w:r>
    </w:p>
    <w:p>
      <w:pPr>
        <w:pStyle w:val="Heading2"/>
      </w:pPr>
      <w:r>
        <w:t>2. Ebon Andersson (Högerpartiet, woman)</w:t>
      </w:r>
    </w:p>
    <w:p>
      <w:r>
        <w:rPr>
          <w:b w:val="0"/>
        </w:rPr>
        <w:t xml:space="preserve">Herr talman! Jag beklagar, att jag inte hann gå in på frågan djupare. Jag trodde, att jag uttryckte mig ganska tydligt. Jag skall emellertid tillåta mig, att, eftersom herr Österström har börjat bli personlig och detta lär vara </w:t>
      </w:r>
      <w:r>
        <w:rPr>
          <w:b/>
        </w:rPr>
        <w:t>kvinnornas¹</w:t>
      </w:r>
      <w:r>
        <w:rPr>
          <w:b w:val="0"/>
        </w:rPr>
        <w:t xml:space="preserve"> speciella förmån, enligt vad det påstås, säga, att herr Österströms överlägsenhet imponerar inte ett enda spår på mig, så mycket mindre som jag befinner mig i alldeles utomordentligt sällskap, sakkunniga personer, som sedan årtionden ha arbetat med dessa frågor. Jag vill bara nämna socialstyrelsen, styrelsen för Venngarnsanstalten, Svenska stadsförbundet, Svenska landskommunernas förbund, statens inspektör för fattigvård och barnavård o. s. v. och hela rader av länsstyrelser. Jag befinner mig sålunda i mycket gott sällskap.</w:t>
        <w:br/>
        <w:br/>
        <w:t>Jag vill tillägga, att min reaktion mot länsnykterhetsnämnderna inte beror på bristande intresse för nykterhetsvården, vilket inte heller herr Österström ville göra gällande. Jag hyser ett mycket djupt intresse för effektivisering av nykterhetsvården, men det var just därför, att jag anser, att man inte effektiviserar den på detta sätt, utan att man därigenom förpuppar de olägenheter som finnas, som jag gått emot den kungl. propositionen.</w:t>
      </w:r>
    </w:p>
    <w:p>
      <w:pPr>
        <w:pStyle w:val="Heading2"/>
      </w:pPr>
      <w:r>
        <w:t>3. Ivar Österström (Folkpartiet, man)</w:t>
      </w:r>
    </w:p>
    <w:p>
      <w:r>
        <w:rPr>
          <w:b/>
        </w:rPr>
        <w:t>Fröken²</w:t>
      </w:r>
      <w:r>
        <w:rPr>
          <w:b w:val="0"/>
        </w:rPr>
        <w:t xml:space="preserve"> Andersson konstaterade, att </w:t>
      </w:r>
      <w:r>
        <w:rPr>
          <w:b/>
        </w:rPr>
        <w:t>hon²</w:t>
      </w:r>
      <w:r>
        <w:rPr>
          <w:b w:val="0"/>
        </w:rPr>
        <w:t xml:space="preserve"> inte var imponerad av min överlägsenhet. Jag är alldeles övertygad om det. Det är för övrigt en erfarenhet, som jag gör hemma i mitt hem dagligen, att </w:t>
      </w:r>
      <w:r>
        <w:rPr>
          <w:b/>
        </w:rPr>
        <w:t>kvinnorna¹</w:t>
      </w:r>
      <w:r>
        <w:rPr>
          <w:b w:val="0"/>
        </w:rPr>
        <w:t xml:space="preserve"> inte låta sig imponeras av min överlägsenhet. Men. herr talman, det gläder mig, när </w:t>
      </w:r>
      <w:r>
        <w:rPr>
          <w:b/>
        </w:rPr>
        <w:t>fröken²</w:t>
      </w:r>
      <w:r>
        <w:rPr>
          <w:b w:val="0"/>
        </w:rPr>
        <w:t xml:space="preserve"> Andersson berättar att </w:t>
      </w:r>
      <w:r>
        <w:rPr>
          <w:b/>
        </w:rPr>
        <w:t>hon²</w:t>
      </w:r>
      <w:r>
        <w:rPr>
          <w:b w:val="0"/>
        </w:rPr>
        <w:t xml:space="preserve"> befinner sig, som </w:t>
      </w:r>
      <w:r>
        <w:rPr>
          <w:b/>
        </w:rPr>
        <w:t>hon²</w:t>
      </w:r>
      <w:r>
        <w:rPr>
          <w:b w:val="0"/>
        </w:rPr>
        <w:t xml:space="preserve"> uttryckte sig, i gott sällskap. </w:t>
      </w:r>
      <w:r>
        <w:rPr>
          <w:b/>
        </w:rPr>
        <w:t>Hon²</w:t>
      </w:r>
      <w:r>
        <w:rPr>
          <w:b w:val="0"/>
        </w:rPr>
        <w:t xml:space="preserve"> låter uppenbarligen imponera på sig av alla andra karlar än mig.</w:t>
      </w:r>
    </w:p>
    <w:p>
      <w:pPr>
        <w:pStyle w:val="Heading2"/>
      </w:pPr>
      <w:r>
        <w:t>4. Gustav Möller (Socialdemokraterna, man)</w:t>
      </w:r>
    </w:p>
    <w:p>
      <w:r>
        <w:rPr>
          <w:b w:val="0"/>
        </w:rPr>
        <w:t>Jag skall bara tillåta mig att med några ord komplettera den motivering för inrättande av länsnykterhetsnämnderna som herr Österström anförde.</w:t>
        <w:br/>
        <w:br/>
        <w:t>Man har inte bara att taga hänsyn till de ömtåliga situationer, som uppstå grannar emellan i små bondsocknar, där nykterhetsnämnderna sitta och där det skulle bli tal om att tillämpa alkoholistlagen, utan även till den omständigheten, att varje beslut, som t. ex. innebär internering av en alkoholist, kan komma att förorsaka en kommun stora kostnader. Detta medför, att i varje fall i mindre kommuner vederbörande draga sig — det är ingenting att egentligen förvåna sig över — för beslut om internering, som t. ex. öka fattigvårdskostnaderna, i vissa fall kanske rätt avsevärt. Detta bidrager även till att göra det nuvarande systemet ineffektivt.</w:t>
        <w:br/>
        <w:br/>
        <w:t>Jag är förresten utskottet särskilt tacksam för utskottets erinran om att frågan om fördelningen av fattigvårdskostnaderna eller de kommunala kostnader, som kunna uppstå på grund av effektivisering av lagen, bör bli föremål för särskild uppmärksamhet. Jag tror, att detta var ett mycket värdefullt påpekande.</w:t>
        <w:br/>
        <w:br/>
        <w:t>Den yttersta motiveringen för förslaget om länsnykterhetsnämnderna är egentligen, att de som syssla med dessa ting ha känt ett behov av att ha någon instans, där allt beroende av lokala hänsyn är eliminerat. Jag tror för min del, att det är en tillräckligt stark motivering. Jag har i själva verket vilat på förslaget under ganska lång tid, mindre av det skälet att man skulle ingripa i den kommunala självstyrelsen, ty det kan ju vara nödvändigt, när</w:t>
        <w:br/>
        <w:br/>
        <w:t>denna inte fungerar, vilket i varje fall är förhållandet på denna punkt, men desto mera av den anledningen, att jag tyckte det skulle bli för dyrt med dessa länsnykterhetsnämnder. Alternativet kunde ju inte vara något annat — beträffande förslaget om inrättande av nykterhetskonsulenter vet jag inte, om det kan anses som något verkligt alternativ — än polismyndigheterna och länsstyrelserna. Men jag blev efter hand övertygad om att den vägen inte var framkomlig, om man ville söka nå målet. Det är den motivering som kan anöras.</w:t>
        <w:br/>
        <w:br/>
        <w:t>Det är klart, att man skulle kunna säga mycket i frågan, om man ville gå in på en längre diskussion, men det förefaller mig rätt överflödigt. Frågan, huruvida länsnykterhetsnämnderna kunna bli effektiva, kan endast erfarenheten avgöra. Det är ju mycket sannolikt, att de komma att fungera helt enkelt på det sättet, att de tillhålla de lokala nykterhetsnämnderna att göra sin plikt. Det är inte alls säkert, att de ständigt behöva ingripa som ett slags lokal nämnd, men det torde vara av rätt stor betydelse, att dessa lokala nämnder, när de mer eller mindre uppenbart försumma sin plikt, få veta av en annan instans, att de böra handhava vissa ärenden på ett visst bestämt sätt.</w:t>
        <w:br/>
        <w:br/>
        <w:t>Jag tager för givet, att andra kammaren kommer att följa utskottet och första kammaren i denna sak.</w:t>
      </w:r>
    </w:p>
    <w:p>
      <w:pPr>
        <w:pStyle w:val="Heading2"/>
      </w:pPr>
      <w:r>
        <w:t>5. Edvard Thorell (–, man)</w:t>
      </w:r>
    </w:p>
    <w:p>
      <w:r>
        <w:rPr>
          <w:b w:val="0"/>
        </w:rPr>
        <w:t>Herr talman! Då jag till detta utskottsutlåtande har fogat en blank reservation, är det inte därför att jag anser, att ingenting bör göras i här föreliggande fråga. Tvärtom, jag har den erfarenheten, att de kommunala nykterhetsnämndernas arbete hittills inte fyllt måttet av vad som bör göras på detta område. Jag har heller inte något särskilt emot den kungl. propositionen mer än på en punkt. I sitt uttalande nyss snuddade för övrigt statsrådet vid denna punkt. Det var frågan om den kommunala självbestämmanderätten. I 8 14 av lagförslaget heter det: »Finner länsnykterhetsnämnden, att fall, som i detta kapitel avses, av kommunal nykterhetsnämnd ej handlagts på nöjaktigt sätt, skall länsnykterhetsnämnden genom råd och anvisningar söka åvägabringa rättelse.» Så långt kan jag vara med på noterna. Men sedan anser jag, att det betänkliga kommer, när det säges: »Vinnes ej rättelse härigenom, äger länsnykterhetsnämnden vidtaga de åtgärder i ärendet, som eljest skolat tillkomma den kommunala nämnden. Har sådan åtgärd vidtagits av länsnykterhetsnämnden, må den kommunala nämnden ej taga befattning med ärendet i vidare mån än länsnykterhetsnämnden föreskriver.»</w:t>
        <w:br/>
        <w:br/>
        <w:t>Under det kommunala arbete, som jag har deltagit i under mitt liv, vet jag inte, att jag stött på något liknande som detta. Såvitt jag vet, finns det knappast heller något sådant fall. Det förhåller sig ju alltid så, att de kommunala myndigheterna över sig ha andra myndigheter, i första hand länsstyrelsen. Om de på något område inte fullgöra sin plikt, äro de vana vid att få ålägganden att fullgöra densamma. Verkställigheten förbehålles emellertid alltid de kommunala myndigheterna. Enligt det föreliggande förslaget blir det annor- Junda. Där blir det möjligt för den blivande länsnykterhetsnämnden att sätta den kommunala myndigheten helt åt sidan. Den kommunala myndigheten skulle få se på, hur främmande personer skulle härja på det kommunala område, som de betrakta som sitt eget.</w:t>
        <w:br/>
        <w:br/>
        <w:t>Jag tror, att det inte heller i ett annat avseende skulle vara nyttigt. De kommunala nämnderna skulle nämligen helt säkert göra på det sättet, att de skulle försöka överlåta det obehag, som alltid är förenat med ett ingrepp i detta avseende. Folk känner alltid varandra i en liten kommun, och det är inte så roligt att ingripa mot en person, när det finns personliga relationer. Det blir alltid så, att folket i kommunen delar upp sig, en del ställer sig på</w:t>
        <w:br/>
        <w:br/>
        <w:t>En sak som jag har mycket svårt att förstå är, hur det skall kunna bli möjligt för dessa länsnykterhetsnämnder, som inte ha någon närmare personlig kännedom om förhållandena i orterna och människorna som bo där, att på detta ytterst ömtåliga område handla rätt, med oväld, och utan att göra mera skada än nytta. För min del, herr talman, håller jag före, att dessa länsnykterhetsnämnder borde ha fått en annan uppgift, nämligen i huvudsak en rent konsulterande uppgift.</w:t>
        <w:br/>
        <w:br/>
        <w:t>Det är ju så, att i våra små kommuner är det ganska svårt att alltid få lämpligt folk i dessa nykterhetsnämnder. I stor utsträckning äro sådana nämnder för övrigt inte tillsatta, utan vederbörande fattigvårdsstyrelse har denna sak om hand vid sidan av sina egentliga uppgifter, och det är inte alltid som fattigvårdsstyrelsen fattar denna uppgift på allvar. Då skulle fattigvårdsstyrelsen eller den lokala nykterhetsnämnden kunna ha länsnykterhetsnämnden att vända sig till för att av denna få upplysningar och råd. Och när det visar sig, att det ombud, som länsnykterhetsnämnden skall ha i den lokala nykterhetsnämnden, inte får gehör för sina uppmaningar i syfte att få tillräcklig effektivitet i arbetet, inte får det stöd, som bör kunna påräknas i den kommunala nykterhetsnämnden, anser jag det riktiga vara, att länsnykterhetsnämnden vänder sig till länsstyrelsen och där utverkar åläggande för den kommunala nämnden att fullgöra sina skyldigheter. Jag tror, att det på det sättet skulle bli mycket bättre resultat av det nykterhetsvårdande arbetet, utan att något betänkligt ingrepp göres i den kommunala självbestämmanderätten, som nu här är på väg att bli fallet.</w:t>
        <w:br/>
        <w:br/>
        <w:t xml:space="preserve">Vi få också komma ihåg, att den inställning, för vilken jag här gjort mig till tolk, delas såväl i detta fall som i det fall, </w:t>
      </w:r>
      <w:r>
        <w:rPr>
          <w:b/>
        </w:rPr>
        <w:t>fröken²</w:t>
      </w:r>
      <w:r>
        <w:rPr>
          <w:b w:val="0"/>
        </w:rPr>
        <w:t xml:space="preserve"> Andersson nyss anförde, av många myndigheter, som ha sitt arbete på detta område. Socialstyrelsen avstyrker, statens inspektör för fattigvård och barnavård, länsstyrelsen i Jämtlands län, svenska fattigvårdsförbundet, svenska stadsförbundet, svenska landskommunernas förbund och förste polisintendenten i Stockholm avstyrka likaledes förslaget. Jag lägger alldeles särskild vikt vid att svenska landskommunernas förbund har avstyrkt förslaget. Det är väl dock inom de svenska landskommunerna som denna lag mest kommer att tillämpas, därför att i storstäderna gälla helt andra och särskilda förhållanden. För övrigt skall, om jag minns rätt, denna lag åtminstone inte tillämpas i Stockholm. Svenska landskommunernas förbund framhåller, att länsnykterhetsnämndernas brist på personkännedom gjorde deras möjligheter att ingripa i fall, då den lokala nämnden underlåtit att vidtaga åtgärder, illusoriska. Härom uttala sig också socialstyrelsen, fattigvårdsinspektören, länsstyrelserna i Stockholms och Värmlands län samt förste polisintendenten i Stockholm.</w:t>
        <w:br/>
        <w:br/>
        <w:t>Då jag emellertid håller före, herr talman, att något yrkande från min sida inte här kan framställas och komma under omprövning, anser jag det vara meningslöst av mig att göra något yrkande. Men då jag tror, att den erfarenhet på området som länsnykterhetsnämndernas arbete kommer att ge Just i fråga om de förhållanden, som jag påtalat, kommer att visa, att vi så småningom få gå in för en ändring av denna lag, har jag velat till protokollet uttala mina farhågor härvidlag. Och skulle jag finnas kvar i riksdagen, när denna sak kommer upp på nytt, torde jag få anledning att påminna om desamma.</w:t>
      </w:r>
    </w:p>
    <w:p>
      <w:pPr>
        <w:pStyle w:val="Heading2"/>
      </w:pPr>
      <w:r>
        <w:t>6. Adolv Olsson (Socialdemokraterna, man)</w:t>
      </w:r>
    </w:p>
    <w:p>
      <w:r>
        <w:rPr>
          <w:b w:val="0"/>
        </w:rPr>
        <w:t xml:space="preserve">Herr talman! Jag har närmast begärt ordet för att föra i kammarens erinran ett spörsmål, som vi vid denna tid i fjol hade uppe till avgörande 1 riksdagen, och det beslut, som då fattades om den nya rusdryckslagstiftningen, vilken skall träda i kraft den 1 oktober i år. Det förslag, som riksdagen då upphöjde till lag, byggde på rusdryckslagstiftningsrevisionens förslag, vilket sönderföll i två delar, nämligen dels ett förslag till rusdryckslagstiftning och dels ett förslag till förordning om nykterhetsvård. Det har här nu talats om alla de avstyrkande yttranden, som anförts i fråga om denna punkt, som ingick i förslaget, där just länsnykterhetsnämnderna utgjorde ett betydelsefullt led. Då man nu vill taga hänsyn till alla dessa avstyrkande yttranden, skulle jag vilja föra i minnet, att många av de hörda myndigheterna avstyrkte en stor del av detaljerna i den lagstiftning, som vi i fjol genomförde beträffande den andra avdelningen av rusdryckslagstiftningsrevisionens stora förslag. Jag vill erinra </w:t>
      </w:r>
      <w:r>
        <w:rPr>
          <w:b/>
        </w:rPr>
        <w:t>damerna²</w:t>
      </w:r>
      <w:r>
        <w:rPr>
          <w:b w:val="0"/>
        </w:rPr>
        <w:t xml:space="preserve"> och herrarna därom, att det fanns en hel del avstyrkande utlåtanden, när det gällde 21 års-åldern, när det gällde efterhandsköpen o. s. v.</w:t>
        <w:br/>
        <w:br/>
        <w:t>Från nykterhetshåll gjorde sig inom riksdagen och ute i landet vid riksdagens behandling av ärendet i fjol en stark opposition gällande. Man förklarade, att man inte ville biträda den kungl. propositionen, därför att den endast innehöll det ena av rusdryckslagstiftningsrevisionens förslag. J ag tillhörde dem, som ansågo, att man redan då borde taga den ena delen av rusdryckslagstiftningsrevisionens förslag, med klart aktgivande på att förslaget innehöll även en andra del. Jag hänvisar till att riksdagens bevillningsutskott vid behandlingen av ärendet i fjol klart uttalade, att utskottet önskade, att på riksdagens bord i år skulle ligga ett förslag om utökad nykterhetsvård, och att man i det avseendet hela tiden, liksom i fråga om lagstiftningen i övrigt, byggde på det förslag, som framlagts av rusdryckslagstiftningsrevisionen. Bevillningsutskottet säger i sitt utlåtande, att inte minst med tanke på de eftergifter i fråga om försäljningsrestriktioner, som genomfördes och som lättare kunde genomföras i fortsättningen, om man skapade instrument för utvecklad nykterhetsvård, gjorde bevillningsutskottet sitt uttalande om att förslag borde föreligga vid 1938 års riksdag. Det förslag, som här föreligger i den kungl. propositionen, är det förslag, som man då räknade med från bevillningsutskottets majoritets sida. Jag skulle i det avseendet, i stället för att rikta kritik mot socialministern, vilja uttala ett särskilt tack till honom på denna punkt för att han fullföljt det andra ledet i denna lagstiftning, vars första led på en annan departementschefs förslag genomfördes i fjol. Med hänsyn till den ställning jag i fjol intog vid behandlingen av detta ärende och till vilken kammarens majoritet anslöt sig, anser jag det som en ren förpliktelse för kammaren att i detta avseende följa Kungl. Maj:ts förslag.</w:t>
        <w:br/>
        <w:br/>
        <w:t>Jag vill till detta lägga den synpunkten, att det naturligtvis kan tvistas därom, huruvida detta nya organ kan få den betydelse, som man från många håll räknar med. Jag är rädd för att man kanske överskattar det en smula. Men om det verkligen kan göra sig gällande och få den praktiska betydelse man väntar, räknar jag med, att denna reform kan bilda ett underlag för åtskilliga nya reformer på rusdryckslagstiftningens område i vårt land, och att den sålunda skall få en verklig betydelse för vad som i fortsättningen skall följa på detta område, om man här lägger en stabil och hållbar grund.</w:t>
        <w:br/>
        <w:br/>
        <w:t>Jag ber därför att ännu en gång få understryka vad bevillningsutskottet fullkomligt enhälligt uttalade i fjol, att förutsättningen för ytterligare lättnader, ytterligare jämkningar, när det gäller vår rusdryckslagstiftning, är en förstärkt nykterhetsvård.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