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2200</w:t>
      </w:r>
    </w:p>
    <w:p>
      <w:r>
        <w:rPr>
          <w:b/>
        </w:rPr>
        <w:t xml:space="preserve">Datum: </w:t>
      </w:r>
      <w:r>
        <w:t>1939-06-03</w:t>
      </w:r>
    </w:p>
    <w:p>
      <w:r>
        <w:rPr>
          <w:b/>
        </w:rPr>
        <w:t xml:space="preserve">Kammare: </w:t>
      </w:r>
      <w:r>
        <w:t>Andra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Per Albin Hansson (Socialdemokraterna, man)</w:t>
      </w:r>
    </w:p>
    <w:p>
      <w:r>
        <w:rPr>
          <w:b w:val="0"/>
        </w:rPr>
        <w:t xml:space="preserve">Herr talman! Vi hava tidigare i andra kammaren och i dag i första kammaren diskuterat om en lag, som icke kunnat göras effektiv, men som ändå skall behållas. Jag förmodar, att det icke skulle vara rekommendabelt för riksdagen att vid antagandet av en ny lag besluta en övergångsbestämmelse, som faktiskt kunde medföra, att lagen beträffande stora grupper av arbetare sattes ur kraft. Den föreslagna övergångsbestämmelsen skulle visserligen enligt sin ordalydelse endast gälla tidsbestämda avtal, men hur skall man kunna konstatera, om ett muntligt avtal är tidsbestämt? Vem kan kontrollera, att en arbetstagare, som befinner sig i starkt beroende av sin arbetsgivare, icke helt enkelt får böja sig för en förklaring av arbetsgivaren, att det dem emellan träffade muntliga avtalet slutits på viss tid. Detta betyder, att i sådana fall, då dylika muntliga avtal träffats, denna lag icke kan träda i tillämpning. Skulle man eventuellt hava fixerat tiden för ett muntligt avtal till utgången av den treårsperiod, för vilken lagen skall gälla, så kommer den, som har ett sådant avtal med sin arbetsgivare, icke i åtnjutande av någon av de fördelar, som lagen avser att bereda dessa arbetsanställda. </w:t>
      </w:r>
      <w:r>
        <w:rPr>
          <w:b/>
        </w:rPr>
        <w:t>Fröken²</w:t>
      </w:r>
      <w:r>
        <w:rPr>
          <w:b w:val="0"/>
        </w:rPr>
        <w:t xml:space="preserve"> Hesselgren sade, att det här även vore fråga om en ekonomisk historia. Socialministern alluderade också på den saken. Man synes vid avfattandet av denna övergångsbestämmelse hava avsett att tillförsäkra vissa arbetsgivare frihet från skyldighet att utgiva övertidsersättning, men, om det är detta man avsett, varför har man då föreslagit en övergångsbestämmelse, som faktiskt betyder, att arbetstagarna icke få någon nytta alls av lagen. Det förefaller mig som om andra kammaren skulle handla mycket klokt, om kammaren bifölle Kungl. Maj:ts förslag och sålunda fattade ett annat beslut än första kammaren, så att utskottet finge ny anledning att taga denna sak under övervägande. Om andra kammaren följer första kammaren, så löpa vi faktiskt risken att stifta en lag, som på grund av övergångsbestämmelsen kanske aldrig träder i tillämpning beträffande betydande grupper under den tid lagen avses att gälla.</w:t>
      </w:r>
    </w:p>
    <w:p>
      <w:pPr>
        <w:pStyle w:val="Heading2"/>
      </w:pPr>
      <w:r>
        <w:t>2. Emil Olovson (Socialdemokraterna, man)</w:t>
      </w:r>
    </w:p>
    <w:p>
      <w:r>
        <w:rPr>
          <w:b w:val="0"/>
        </w:rPr>
        <w:t xml:space="preserve">Herr talman! Jag har egentligen begärt ordet, för att lämna det meddelandet, att jag har för avsikt att framställa yrkande om bifall till Kungl. Maj:ts förslag i vad gäller övergångsbestämmelsen till arbetstidslagen. Motivering för att andra kammaren bör fatta ett annat beslut än det första kammaren i överensstämmelse med utskottets hemställan fattat, har ju här lämnats såväl av socialministern som nu senast av statsministern. Jag vill fästa </w:t>
      </w:r>
      <w:r>
        <w:rPr>
          <w:b/>
        </w:rPr>
        <w:t>fröken²</w:t>
      </w:r>
      <w:r>
        <w:rPr>
          <w:b w:val="0"/>
        </w:rPr>
        <w:t xml:space="preserve"> Hesselgrens uppmärksamhet på, att det icke är så stor skillnad mellan denna arbetstidslag och tidigare antagna arbetstidslagar, att den kan motivera antagandet av en övergångsbestämmelse, som saknar motsvarighet i övriga arbetstidslagar. En sådan anordning skulle medföra en oerhörd olägenhet. </w:t>
      </w:r>
      <w:r>
        <w:rPr>
          <w:b/>
        </w:rPr>
        <w:t>Fröken²</w:t>
      </w:r>
      <w:r>
        <w:rPr>
          <w:b w:val="0"/>
        </w:rPr>
        <w:t xml:space="preserve"> Hesselgren framhöll, att i detta lagförslag finnas beträffande övertidsarbete bestämmelser av ekonomisk innebörd, som icke förekomma i de andra lagarna. Ja, det är riktigt, men vad är det för bestämmelser? Det föreskrives, att det skall utgå särskild lön för övertidsarbete. Det är villkoret för att övertidsarbete skall få uttagas. Jag kan icke</w:t>
        <w:br/>
        <w:br/>
        <w:t>se, att det är en lönebestämmelse i egentlig mening. Det är fråga om villkoren för att arbetstiden skall få utsträckas, och sådana bestämmelser höra hemma 1 en arbetstidslag. Principiellt föreligger ingen skillnad mellan de olika arbetstidslagarna. Det är riktigt, som här sagts, att om förslaget till övergångsbestämmelse antages, lagen i stor utsträckning — hur stor vet man icke — kommer att bliva satt ur spel. Vi kunna icke överblicka avtalsförhållandena inom handeln. Vi ha inga riksavtal. Vi veta vilka kollektivavtal som finnas, men vi ha ingen aning om de enskilda avtalen. Ett avtal är ett avtal, även om det är muntligt. Man kan konstruera fram precis vilka avtal som helst. Hur skall man kunna tillämpa lagen i sådana fall, där det är ovisst, om ett tidsbestämt avtal föreligger eller ej? Om nu andra kammaren antager Kungl. Maj:ts förslag, så finns det de största utsikter för att man skall kunna få till stånd en sammanjämkning, som kan tillfredsställa alla parter. Man har olika vägar att gå, och jag är fullkomligt övertygad om att det skall vara möjligt att finna en lämplig lösning. När vi komma till övergängsbestämmelsen, skall jag framställa yrkande om bifall till Kungl. Maj:ts förslag.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2200</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