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854</w:t>
      </w:r>
    </w:p>
    <w:p>
      <w:r>
        <w:rPr>
          <w:b/>
        </w:rPr>
        <w:t xml:space="preserve">Datum: </w:t>
      </w:r>
      <w:r>
        <w:t>1939-06-10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Ström (Sveriges kommunistiska parti, man)</w:t>
      </w:r>
    </w:p>
    <w:p>
      <w:r>
        <w:rPr>
          <w:b w:val="0"/>
        </w:rPr>
        <w:t>Herr talman! Jag har inte begärt ordet för att blanda mig i en debatt, som herr Wistrand rest mot regeringen, utan för att anföra några enkla synpunkter på själva det mänskliga problem, som ligger bakom vad som här diskuteras, ett problem, som alla kommunalmän och alla riksdagsmän mycket väl känna till. De, som varit så länge i det allmännas tjänst som vi, vilka sitta här, känna det alla. Jag syftar på problemet vad vi skola göra med samhällets olycksbarn, för att citera titeln på en berömd författares bok för många årtionden sedan. Ännu finns det, trots allt som gjorts i utomordentligt stor utsträckning för dessa samhällets olycksbarn, ett oerhört behov av rent individuell verksamhet. Det förvånar mig, att de borgerliga, som alltid vilja framhålla betydelsen av individernas verksamhet och insatser, inte ha sinne för vad det betyder, att en enskild person hjälper till på detta ofantliga och ofantligt viktiga område.</w:t>
        <w:br/>
        <w:br/>
        <w:t>De äro ett mycket blandat klientel, dessa samhällets olycksbarn. Somliga äro omöjliga att någonsin komma till rätta med, andra kan man göra till de bästa medborgare i samhället. Man får därför inte skära alla över en kam. Man måste försöka med var och en särskilt. Det finns ju institutioner, som arbeta i detta syfte. Jag skall bara hålla mig till Stockholm. Jag har</w:t>
        <w:br/>
        <w:br/>
        <w:t xml:space="preserve">Ang. en åt viss körkortssökande medgiven dispens. (Forts.) många gånger haft att göra med Skyddsvärnet och dess ombudsmän, när det gällt att ställa någonting till rätta. Jag har också många gånger varit ute och inspekterat Frälsningsarméns hem, och Stockholms stad har upplåtit tomter och beviljat stora anslag till husbyggen för att hjälpa Frälsningsarmén att verka bland samhällets olycksbarn. Vidare ha vi Stadsmissionen och även andra institutioner. Men det räcker inte, vi måste även ha personliga insatser. Jag känner knappast den i dag anklagade annat än som journalist, men att döma av allt jag har hört, har </w:t>
      </w:r>
      <w:r>
        <w:rPr>
          <w:b/>
        </w:rPr>
        <w:t>hennes²</w:t>
      </w:r>
      <w:r>
        <w:rPr>
          <w:b w:val="0"/>
        </w:rPr>
        <w:t xml:space="preserve"> verksamhet bland samhällets olycksbarn bara varit av godo. Att man kan hugga i sten någon gång, eller många gånger, är alldeles solklart, och det göra väl också alla myndigheter. Tänk på alla dessa statsunderstödda institutioner! Ta inte de många gånger miste utan att bli utsatta för en sådan kritik?</w:t>
        <w:br/>
        <w:br/>
        <w:t xml:space="preserve">Vi måste lära oss att förstå, att även en enskild människa kan ta fel. Det duger inte att kasta sig över en sådan person, som gör mycket gott, bara därför att han eller </w:t>
      </w:r>
      <w:r>
        <w:rPr>
          <w:b/>
        </w:rPr>
        <w:t>hon²</w:t>
      </w:r>
      <w:r>
        <w:rPr>
          <w:b w:val="0"/>
        </w:rPr>
        <w:t xml:space="preserve"> har begått ett fel vid bedömningen. Bedömningen kanske inte ens har varit oriktig, men försöket har misslyckats i alla fall, därför att klienten varit sådan, att ingenting har hjälpt. Men man får därför inte avstå från att göra ett försök. På grund av vad jag känner till om </w:t>
      </w:r>
      <w:r>
        <w:rPr>
          <w:b/>
        </w:rPr>
        <w:t>fru²</w:t>
      </w:r>
      <w:r>
        <w:rPr>
          <w:b w:val="0"/>
        </w:rPr>
        <w:t xml:space="preserve"> Kleens verksamhet inom detta hjälpområde måste jag säga, att jag har den uppfattningen, att </w:t>
      </w:r>
      <w:r>
        <w:rPr>
          <w:b/>
        </w:rPr>
        <w:t>hon²</w:t>
      </w:r>
      <w:r>
        <w:rPr>
          <w:b w:val="0"/>
        </w:rPr>
        <w:t xml:space="preserve"> där utgör en humanitär institution.</w:t>
        <w:br/>
        <w:br/>
        <w:t>Det skulle enligt min mening vara olyckligt, om vi sloge ner sådana enskilda, som ha ett verkligt levande intresse för människovärdet och för det mänskliga, personer som, i motsats till oss, som sitta här, ha intresse inte bara för paragraferna utan för det mänskliga utanför paragraferna, i vissa fall kanske till och med i strid mot paragraferna, ty paragraferna äro inte det enda heliga, även om vi skola göra allt för att följa dem.</w:t>
        <w:br/>
        <w:br/>
        <w:t xml:space="preserve">Nu är det ju möjligt, att </w:t>
      </w:r>
      <w:r>
        <w:rPr>
          <w:b/>
        </w:rPr>
        <w:t>fru²</w:t>
      </w:r>
      <w:r>
        <w:rPr>
          <w:b w:val="0"/>
        </w:rPr>
        <w:t xml:space="preserve"> Kleen har huggit i sten — det vet jag inte, ty så noga har jag inte trängt in i ärendet — men jag tycker, att de herrar på statsrådsbänken, som ha haft ordet, ha klarlagt för oss, hur frågan ligger till, och om vi vilja vara ärliga, måste vi medge, att det, som här anförts, håller, såsom man säger, att ta i.</w:t>
        <w:br/>
        <w:br/>
        <w:t>Det fanns en gång i Danmark en man, som hette Per eller Paul Sabroe. Han började med att ta hand om vilsekomna och barn och blev först utsatt för den mest infernaliska förföljelse från det danska samhällets sida. Han levde och verkade sedan i 25 eller 30 år, tills han omkom vid en Järnvägsolycka. För ett eller två år sedan, då jag befann mig i Danmark, reste hela danska folket hans staty i hans födelsestad.</w:t>
        <w:br/>
        <w:br/>
        <w:t>Jag tror således, att vi icke skola döma hårdare i denna sak än hänsynen till det mänskliga bjuder oss, och vi skola inte göra en politisk affär av en sak, som ligger på detta område.</w:t>
      </w:r>
    </w:p>
    <w:p>
      <w:pPr>
        <w:pStyle w:val="Heading2"/>
      </w:pPr>
      <w:r>
        <w:t>2. Karl Wistrand (Högerpartiet, man)</w:t>
      </w:r>
    </w:p>
    <w:p>
      <w:r>
        <w:rPr>
          <w:b w:val="0"/>
        </w:rPr>
        <w:t xml:space="preserve">Herr talman! Jag vill först gentemot herr Fredrik Ström säga, att jag inte på något sätt finner det inverka på denna sak, om vederbörande tagit miste eller icke. Det är mycket mänskligt att taga miste, och jag anser det icke vara någon graverande omständighet. Inte heller har Jag någon som helst anledning att uppehålla mig vid </w:t>
      </w:r>
      <w:r>
        <w:rPr>
          <w:b/>
        </w:rPr>
        <w:t>hennes²</w:t>
      </w:r>
      <w:r>
        <w:rPr>
          <w:b w:val="0"/>
        </w:rPr>
        <w:t xml:space="preserve"> motiv, vilka jag icke tycker röra denna diskussion.</w:t>
        <w:br/>
        <w:br/>
        <w:t>Jag vill därefter vända mig till statsrådet Sköld. Herr statsråd, man dräper icke en anmärkning med invektiv, genom att säga, att den är en oförskämdhet. Då har invektivet fått ersätta bevisprövningen. Det är ett sådant kraftord, som man tillgriper ibland, då man känner bristen på egen kraft i argumenteringen.</w:t>
        <w:br/>
        <w:br/>
        <w:t>Herr statsrådet Sköld säger, att jag icke kan visa vilka skäl som föranlett regeringens ståndpunkt i denna fråga. Det är naturligtvis alldeles riktigt, så tillvida som ingen människa kan rannsaka en annan människas hjärta och njurar och med bestämdhet och fullt invändningsfritt säga, att ett handlingssätt har en viss orsak, men att ta detta som utgångspunkt för en argumentering förefaller mig rätt egendomligt. Det kvarstår dock ett högst anmärkningsvärt administrativt förfarande vad själva processen beträffar. Det kvarstår också ett högst anmärkningsvärt frångående av vad överståthållarämbetet och Stockholms stads nykterhetsnämnd, alltså de i ärendet hörda myndigheterna, ha anfört, och det återstår också en rad företeelser som jag tidigare har antytt. Jag tror inte, att jag behöver tveka om var en omsorgsfull domare, om han finge handlingarna och akterna i sin hand, skulle lägga bevisskyldigheten.</w:t>
        <w:br/>
        <w:br/>
        <w:t>När man säger, att detta fall endast är ett led i en praxis, så har denna praxis inte blivit, t. ex. med anförande av prejudikat o. s. v., angiven i interpellationssvaret. Detta stärker min mening.</w:t>
        <w:br/>
        <w:br/>
        <w:t>För min del må diskussionen i frågan nu gärna vara slut. Jag hoppas emellertid, att den har varit till nytta.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