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871</w:t>
      </w:r>
    </w:p>
    <w:p>
      <w:r>
        <w:rPr>
          <w:b/>
        </w:rPr>
        <w:t xml:space="preserve">Datum: </w:t>
      </w:r>
      <w:r>
        <w:t>1940-06-08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Brandt (Socialdemokraterna, man)</w:t>
      </w:r>
    </w:p>
    <w:p>
      <w:r>
        <w:rPr>
          <w:b w:val="0"/>
        </w:rPr>
        <w:t xml:space="preserve">Herr talman! Min respekt alltifrån ungdomsåren för den man, som nu är första lagutskottets ordförande, är så stark, att jag faktiskt inte kom mig för med att begära ordet för en replik omedelbart efter hans anförande. Som man kanske erinrar sig, fast det nu är någon timme sedan, replikerade han gent emot den ståndpunkt, som jag och somliga med mig ha intagit i denna fråga, att vi påminde honom om en man, som av fruktan för döden begick självmord. Det skulle väl innebära, att vi av fruktan för diktatursträvande propaganda själva vore benägna att förfalla till diktatur. Repliken var kvick, men den var alldeles inte träffande. Jag skulle å min sida vilja säga, att herr Schlyter och med honom likatänkande äro så känsliga som </w:t>
      </w:r>
      <w:r>
        <w:rPr>
          <w:b/>
        </w:rPr>
        <w:t>prinsessan³</w:t>
      </w:r>
      <w:r>
        <w:rPr>
          <w:b w:val="0"/>
        </w:rPr>
        <w:t xml:space="preserve"> på ärten, när de så frukta för att kränka förment demokratiska principers minsta bokstav, att de därigenom faktiskt underlätta arbetet för antidemokratiska makter på att mörda demokratin, friheten och allt som för oss är dyrt och kärt.</w:t>
        <w:br/>
        <w:br/>
        <w:t>För min del har jag ingenting att invända mot en sådan förbudseller upplösningslagstiftning, som här är föreslagen. I min motion yrkade jag därför bifall till den kungl. propositionen därvidlag, samtidigt som jag föreslog en skrivelse till Kungl. Maj:t med begäran om en strafflag mot propaganda för införande av ett autokratiskt styrelseskick i riket. Nu har utskottet genom den ändrade form, som utskottet givit lagens 1 $, tagit bort de anstötliga orden om »förhållande till främmande makt» och i stället satt in orden om en verksamhet, som är »ägnad att sätta rikets säkerhet i fara». Jag har alltså ingen-</w:t>
      </w:r>
    </w:p>
    <w:p>
      <w:pPr>
        <w:pStyle w:val="Heading2"/>
      </w:pPr>
      <w:r>
        <w:t>2. Carl Lindhagen (–, man)</w:t>
      </w:r>
    </w:p>
    <w:p>
      <w:r>
        <w:rPr>
          <w:b w:val="0"/>
        </w:rPr>
        <w:t xml:space="preserve">Herr talman! Tegnér har en gång i sina glansdagar skaldat: » Vad våldet må skapa är vanskligt och kort, det dör som en stormvind i öknen bort. Men sanningen lever. Bland bilor och svärd lugn står </w:t>
      </w:r>
      <w:r>
        <w:rPr>
          <w:b/>
        </w:rPr>
        <w:t>hon²</w:t>
      </w:r>
      <w:r>
        <w:rPr>
          <w:b w:val="0"/>
        </w:rPr>
        <w:t xml:space="preserve"> med strålande pannan. </w:t>
      </w:r>
      <w:r>
        <w:rPr>
          <w:b/>
        </w:rPr>
        <w:t>Hon²</w:t>
      </w:r>
      <w:r>
        <w:rPr>
          <w:b w:val="0"/>
        </w:rPr>
        <w:t xml:space="preserve"> varnar alltjämt för den nattliga värld och pekar alltjämt till en annan.»</w:t>
        <w:br/>
        <w:br/>
        <w:t>Här är nu ostridigt bland alla partier och alla talare i debatten, att vi stå inför en våldshandling. Det värsta är, att den håller sig borta från fredens idé. Men vi som vilja, att Sverige — samtidigt med sina upprustningar mot andra stater och våldshandlingar mot olika partier inom det egna landet — går fram även med planlagd propaganda ute i världen för en ny världsordning upptornad på fredens idé och sanningens makt, vi kräva, att Sverige säger ifrån att vi icke tolerera längre stormakternas tummel med våldet i evighet på sätt som sker.</w:t>
        <w:br/>
        <w:br/>
        <w:t>Alla statsskick i världen skydda sig i dag mot landsförräderi, det vill säga mot medborgare av samma stat, som enskilt eller i grupper vilja ändra statsförfattningen, därför att de icke tycka om den som finns. Oftast ligger en ideell bakgrund i dessa strävanden. Historien visar oss, att i alla inbördeskrig komma de som segra att skapa sin egen författning. Men innan de segrat, har deras åsikt bekämpats såsom landsförräderi. Sedan söka de nya segrarna i sin tur att stämpla varje konspiration mot densamma som landsförräderi. Detta är det evigt upprepade maskeradspelet i världshistorien.</w:t>
        <w:br/>
        <w:br/>
        <w:t>Nu ha vi åter begåvats med ett världskrig, och faror hota på många sätt. Då förvånar det mig inte och inte någon av oss, att vår regering anser sig skyldig att skärpa de landsförräderiparagrafer, som finnas för att upprätthålla vår författning. Den har uppsprungit ur begreppet demokrati, och den vilja vi därför behålla i dess gamla skick, ogärna i dess nuvarande förfall alltmera emot diktatur även här hemma. Jag står på samma grund, liksom de närmast föregående talarna i debatten.</w:t>
        <w:br/>
        <w:br/>
        <w:t>Nu är det som sagt rimligt att regeringen, när världen befinner sig i krig, för att inte säga i undergång, tar sådana här initiativ. Men även regeringen bör då också förstå, att den får försöka att samtidigt upprätthålla demokratin och inte själv oöverlagt odla diktatur.</w:t>
        <w:br/>
        <w:br/>
        <w:t>En sådan tendens föreligger emellertid för mycket synes mig hos vår regering, som jag nu skall komma till. Då vänder jag mig särskilt mot herr Brandt, som väckt en motion i det här sammanhanget. Den går ut på att han är emot allt införande av autokratiskt statsskick. Med det uttrycket menar han »ett sådant statsskick, där riksstyrelsen i verkligheten, om ock i strid mot lag, utövas med oinskränkt myndighet utan medverkan av och ansvarighet inför av folket fritt valda representanter».</w:t>
        <w:br/>
        <w:br/>
        <w:t>Då vill jag fråga Brandt: ha inte också vi diktatur i vårt land? Växer det ej upp diktaturer i vinklar och vrår? Det är väl närmast en följd av världskriget. Brandt proklamerar här en diktatur även för vår räkning och bortser ifrån att diktaturer även här i landet också hota av folket fritt valda representanter.</w:t>
        <w:br/>
        <w:br/>
        <w:t>Jag skall ta exempel. Vi så kallade fredsaktivister fråga oss, om inte även</w:t>
        <w:br/>
        <w:br/>
        <w:t>Men vart man går, så finner man nu att medborgarna, unga och gamla, överallt äro upprörda över, att vi minska folkets intresse för upprustningen genom att också tala om, att samtidigt böra vi ägna ett stycke intresse jämväl åt freden. De kalla oss till och med för landsförrädare. Jag har bland mina närmaste umgängesvänner till och med fått veta, att jag är en gudlös karl, »en nazist», därför att jag kämpat för nationernas självbestämningsrätt och ansett det varit Tjeckiens och Polens olycka att Versaillesfreden i snöda syften skänkt dem herravälde över även främmande nationaliteter eller s. k. irredenta. Hotet inom Sverige mot »fredens idé» är den enda idé det stackars landets majoriteter synas kunna tillägna sig.</w:t>
        <w:br/>
        <w:br/>
        <w:t>Jag interpellerade statsminister Hansson, då han gick förbi min plats i dag på förmiddagen. Jag tog honom i armen, så att han måste stanna, och så frågade jag honom: »Hör du, Per Albin Hansson, varför får jag inte någonsin svar på de utrikespolitiska interpellationer i fredsaktionens syfte, som jag till ett stort antal fått första kammarens tillstånd att framställa till utrikesministern? Och varför svara ni inte ens på den oförargliga interpellationen om att regeringen måtte -räcka en hjälpande hand åt Rågöborna i Estland? Och varför får jag inte ens svar på min beviljade interpellation och mina s. k. tillika framställda ”enkla frågor om Ålandsfrågans läge i strid och Ålands tysta befästande med 1921 års internationella konvention?» Då svarade han: »Vi tycka inte, att det är lägligt att svara.&gt; Tänk en sådan diktatur, herr Brandt.</w:t>
        <w:br/>
        <w:br/>
        <w:t>Men strax efteråt gick riksdagsman Bagge förbi min plats, och så frågade jag Bagge, högerns ledare, hur det kom sig, att han varit med på att inte besvara de beviljade interpellationerna om vår utrikespolitik. Regeringen har ju åtagit sig, att när en interpellation är beviljad, så skall interpellanten åtminstone få ett brev om att Kungl. Maj:t inte har funnit skäl att svara. Och då är saken utagerad. När det gäller »enkla frågor», ha ju statsråden »åtagit sig» att svara, helst vid onsdagsplena. Men så har inte skett i detta fall. Jag frågade alltså Bagge detsamma som jag frågade Per Albin Hansson, och Bagge svarade, att det där hade han ej hört talas om och att det är en särmening bland någon del inom ministären.</w:t>
        <w:br/>
        <w:br/>
        <w:t>Så, bästa herr Brandt, nog finns det autokrati även här i landet, både i regering, riksdag och ute bland folket.</w:t>
        <w:br/>
        <w:br/>
        <w:t>Nå, för övrigt kan det ju inte undvikas i en sådan här rörig värld, att det då och då framträder någon som bestämmer. Vi förstå mycket väl, att när krig är före, så kommer diktaturen som ett brev på posten. Ty hur skulle det gå, om det inte bleve en militärbefälhavare, som fick beställa allt inom militärtaktiken, och en finansminister, som bestämde allt inom finansväsendet 0. s. v.? Nu nalkas vi kanske även i Sverige en sådan tid, och då får man finna sig 1 vad som helst.</w:t>
        <w:br/>
        <w:br/>
        <w:t>Denna propositions tillkomst kan jag sålunda förstå. Men så länge det icke uppskattas eller ens anses tillåtligt att vid sidan av upprustningar och våldslagar nitälska även för fredens idé, så länge äro vi fredsaktivister, eller åtmins-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