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879</w:t>
      </w:r>
    </w:p>
    <w:p>
      <w:r>
        <w:rPr>
          <w:b/>
        </w:rPr>
        <w:t xml:space="preserve">Datum: </w:t>
      </w:r>
      <w:r>
        <w:t>1900-02-21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Emil Hammarlund (–, man)</w:t>
      </w:r>
    </w:p>
    <w:p>
      <w:r>
        <w:rPr>
          <w:b w:val="0"/>
        </w:rPr>
        <w:t>Jag har icke förbisett den af grefve Hamilton nämnda omständigheten, att det för närvarande gäller en öfverenskommelse mellan Sverige, Norge och Danmark derom, att bref, som befordras mellan dessa länder, skola för samma vigtsats vara underkastade samma porto. Men det är klart, att då man aflåter en sådan skrifvelse som den nu af mig ifrågasatta och begär en utredning af saken, så komma generalpoststyrelsen och Kongl. Maj:t alldeles säkert att taga i öfvervägande, huruvida i afseende äfven å dessa bref en sådan ändring bör ifrågasättas. En öfverenskommelse med våra grannländer att höja vigtsatsen till 20 gram bör särskildt hvad beträffar Danmark vara så mycket lättare att få till stånd, som i nämnda land inrikes bref af ända till 250 grams vigt befordras mot enkelt porto. Man kan således vara förvissad om att förändringen icke skall möta motstånd derifrån. Men jag har helt naturligt icke ansett lämpligt att upptaga denna detalj i mitt förslag till uttalande, utan den står alldeles öppen och blifver nog i alla fall föremål för utredning, derest en sådan kommer till stånd i sjelfva hufvudfrågan.</w:t>
        <w:br/>
        <w:br/>
        <w:t>Det har frågats, hvartill det skulle tjena att nu fatta ett annat beslut än hvad utskottet ifrågasatt, då Första Kammaren redan bifallit utskottets hemställan. Ja, detta är en fråga, som man rätt ofta hör: hvad skall det tjena till, då Första Kammaren redan fattat beslut? Jag undrar dock, om det icke är så, att vi i denna kammare fatta våra beslut i öfverensstämmelse med våra åsigter. Om det af mig ifrågasatta beslutet icke tjenar till något annat, så tjenar det till att vara en opinionsyttring; och när frågan en gång återkommer, skall man hafva större utsigter att få igenom denna reform, än om ett dylikt uttalande icke framkommer från denna kammare. |</w:t>
        <w:br/>
        <w:br/>
        <w:t>Jag vidhåller mitt yrkande om bifall till det framstälda skrifvelseförslaget.</w:t>
        <w:br/>
        <w:br/>
        <w:t xml:space="preserve">Husbonde ansvarar för förbrytelse, som mot denna förordning begås af hans </w:t>
      </w:r>
      <w:r>
        <w:rPr>
          <w:b/>
        </w:rPr>
        <w:t>hustru²</w:t>
      </w:r>
      <w:r>
        <w:rPr>
          <w:b w:val="0"/>
        </w:rPr>
        <w:t>, husfolk eller i hans arbete antagen person, likasom vore förbrytelsen af husbonden sjelf gjord, derest icke omständigheterna göra sannolikt, att förbrytelsen skett utan hans vetskap och vilja.»</w:t>
      </w:r>
    </w:p>
    <w:p>
      <w:pPr>
        <w:pStyle w:val="Heading2"/>
      </w:pPr>
      <w:r>
        <w:t>2. Ola Persson (–, man)</w:t>
      </w:r>
    </w:p>
    <w:p>
      <w:r>
        <w:rPr>
          <w:b w:val="0"/>
        </w:rPr>
        <w:t>Herr grefve och talman, mina herrar! Som herrarne finna af detta utskottsbetänkande, har jag jemte andra reserverat mig mot det slut, hvartill utskottet kommit, och jag skall derför be att få angifva några skäl för min uppfattning i denna fråga.</w:t>
        <w:br/>
        <w:br/>
        <w:t xml:space="preserve">Den nuvarande affattningen af ifrågavarande stadgande i bränvinsförsäljningsförordningen har utskottet anfört på första sidan af sitt betänkande, liksom ock den förändring, som motionären föreslagit. Dessa båda formuleringar äro i det hänseendet motsatta hvarandra, att motionären föreslår, att husbonde skall sjelf ansvara »för förbrytelse, som mot denna förordning begås af hans </w:t>
      </w:r>
      <w:r>
        <w:rPr>
          <w:b/>
        </w:rPr>
        <w:t>hustru²</w:t>
      </w:r>
      <w:r>
        <w:rPr>
          <w:b w:val="0"/>
        </w:rPr>
        <w:t>, husfolk eller i hans arbete antagen person, likasom vore förbrytelsen af husbonden sjelf gjord, derest icke omständigheterna göra sannolikt, att förbrytelsen skett utan hans vetskap</w:t>
        <w:br/>
        <w:br/>
        <w:t xml:space="preserve">och vilja», under det att lagen i sin nuvarande lydelse stadgar: »Husbonde ansvare för förbrytelse, som, med hans vetskap, mot denna förordning begås af hans </w:t>
      </w:r>
      <w:r>
        <w:rPr>
          <w:b/>
        </w:rPr>
        <w:t>hustru²</w:t>
      </w:r>
      <w:r>
        <w:rPr>
          <w:b w:val="0"/>
        </w:rPr>
        <w:t>, husfolk eller i hans arbete antagen person, likasom vore förbrytelsen af husbonden sjelf gjord.» Det nya i motionärens förslag är helt naturligt det, att den anklagade skall bevisa sin oskuld, under det att i alla andra fall en anklagad person skall, för att kunna fällas, antingen erkänna eller också öfverbevisas om sitt brott. Denna skilnad kan ju hafva sin grund deruti, att, såsom också motionären anmärker, bränvinsförsäljningsförordningen är en enastående lagstiftning, som har olika bestämmelser gent emot alla andra lagstiftningar, enligt hvilka brott skola åtalas eller straffas.</w:t>
        <w:br/>
        <w:br/>
        <w:t>Jag är fullt öfvertygad om att motionären framkommit med sin motion i afsigt att främja nykterheten, liksom också utskottet låtit sitt förslag gå i den rigtningen, att det skulle befordra nykterheten. Det finnes två olika sätt att verka i detta syfte, nemligen genom lagstiftning och genom öfvertygelse. I fråga om det sistnämnda sättet kunna ju användas bevisningar, öfvertygelser och liknelser, gående i många rigtningar; men vid lagstiftning måste man i första hand se till, att lagen verkligen är sådan, att den kan efterlefvas. Eljest kan en sådan lag blifva föremål för ringaktning, en ringaktning, som återfaller på lagstiftaren.</w:t>
        <w:br/>
        <w:br/>
        <w:t>Utskottet har i detta hänseende försökt att gå en medelväg, och efter en utflygt på nio sidor i betänkandet har utskottet sökt med ljus och lykta efter ett bättre förslag, än det motionären framstält. På sid. 8 i betänkandet föreslår utskottet sålunda en liten förändring i det af motionären framlagda förslaget. Under det att motionären användt uttrycket »husbonde», anser utskottet, att det bör heta »idkare af sådan näring, som i denna förordning afses». Utskottet har med denna lilla förändring velat gifva regeringen en hänvisning på huru en lag bör stiftas, som är mera effektiv än den nuvarande.</w:t>
        <w:br/>
        <w:br/>
        <w:t>Jag vill fråga, huruvida motionären, i fall han med sin motion afser att främja nykterheten, verkligen kan vara belåten med detta utskottets förslag. Gäller hans verksamhet uteslutande städerna eller storstäderna, d. v. s. är rigtad mot krogarne, torde han möjligen kunna vara belåten; men med afseende å den verksamhet, som sträcker sig till landsbygden, torde man få erkänna, att den af utskottet ifrågasatta formuleringen är bra mycket sämre än det nuvarande stadgandet. Under de senaste dagarne har man just hört talas om huru lönkrögarne grassera i Norrland. Hvilket lämpligt sätt är det icke för dessa att använda biträden för varornas utlemnande och på detta sätt undgå ansvar! Jag hoppas nemligen, att bevillningsutskottet icke afsett, att lönkrögarne skulle kunna anses såsom idkare af denna näring, då de icke hafva någon rättighet att försälja spirituosa. Huru svårt skall det icke blifva för rättstjenarne att komma åt sådana personer,</w:t>
        <w:br/>
        <w:br/>
        <w:t>som just genom andra utlemna spritvaror till allmänheten! Jag tror, att i fall regeringen skulle taga någon hänsyn till hvad utskottet här har nämnt, till den enda lilla punkt, som skulle hjelpa regeringen på trafven, då det gälde att framlägga ett förslag i detta ämne, i fall således bevillningsutskottet blefve taget på orden, så skulle detta endast vara att försämra den nuvarande lagen.</w:t>
        <w:br/>
        <w:br/>
        <w:t>Det är således lika mycket i nykterhetens intresse, som jag yrkar afslag, som det varit i bevillningsutskottets intresse att föreslå en skrifvelse till Kongl. Maj:t i här afsedt syfte, om än på obetydliga och klena skäl. Och då kammaren visat sig välvilligt stämd mot dessa frågor förut, så att den nästan varit färdig att taga det första förslag, som framkommit, då icke något bättre varit till hands, så är det ganska troligt, att kammaren äfven denna gång skall, såsom en välvilja mot motionären och mot nykterhetsverksamheten, antaga det föreliggande förslaget, om det också, enligt mitt förmenande, icke gagnar saken det ringaste.</w:t>
        <w:br/>
        <w:br/>
        <w:t>Herr talman! Jag yrkar afslag å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879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