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w:t>
      </w:r>
    </w:p>
    <w:p>
      <w:r>
        <w:rPr>
          <w:b/>
        </w:rPr>
        <w:t xml:space="preserve">Datum: </w:t>
      </w:r>
      <w:r>
        <w:t>1900-03-14</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Hjalmar Palmstierna (Nya lantmannapartiet, man)</w:t>
      </w:r>
    </w:p>
    <w:p>
      <w:r>
        <w:rPr>
          <w:b w:val="0"/>
        </w:rPr>
        <w:t xml:space="preserve">Då jag nu fått veta, att statsutskottet ansett det så tydligt, att ersättning skall lemnas, ber jag få tillägga, att jag icke anser detta lika klart, men då det tillämpas så, på grund af gammal häfd, är derom intet att säga. Vidare tillåter jag mig säga, att jag icke ifrågasatt, att prestboställen ej skulle hafva ersättning, utan blott »annorledes upplåten kronojord». När det är så, att kommuner och enskilde få släppa till jord, bör också kronan göra det, helst kronan har så många egendomar, att </w:t>
      </w:r>
      <w:r>
        <w:rPr>
          <w:b/>
        </w:rPr>
        <w:t>hon²</w:t>
      </w:r>
      <w:r>
        <w:rPr>
          <w:b w:val="0"/>
        </w:rPr>
        <w:t xml:space="preserve"> väl kan räknas för sig sjelf såsom en större kommun. Min andra fråga blef icke besvarad: är det rigtigt, att staten skall vara den ende, som tager betaldt för sin jord?</w:t>
      </w:r>
    </w:p>
    <w:p>
      <w:pPr>
        <w:pStyle w:val="Heading2"/>
      </w:pPr>
      <w:r>
        <w:t>2. Carl Birger Hasselrot (–, man)</w:t>
      </w:r>
    </w:p>
    <w:p>
      <w:r>
        <w:rPr>
          <w:b w:val="0"/>
        </w:rPr>
        <w:t>Då talaren å jönköpingsbänken först hade ordet, uppfattade jag icke rätt hvad han åsyftade. Nu finner jag af hans senare anförande, att han icke vill en inskränkning i de förmåner, Kongl. Maj:t för enskilda jernvägsanläggningar begärt, utan att han önskar, det staten skall upplåta kronan tillhörig, men bortarrenderad eller till boställe anslagen jord, som erfordras för anläggningen och som enligt gamla föreskrifter upplåtits mot godtgörelse både till brukaren och kronan, utan ersättning till kronan.</w:t>
        <w:br/>
        <w:br/>
        <w:t>Då emellertid statsutskottet icke har motionsrätt, lärer utskottet, äfven om det ansett sådant lämpligt, icke hafva kunnat gå den ärade talarens önskningar härutinnan till mötes.</w:t>
      </w:r>
    </w:p>
    <w:p>
      <w:pPr>
        <w:pStyle w:val="Heading2"/>
      </w:pPr>
      <w:r>
        <w:t>3. Carl Birger Hasselrot (–, man)</w:t>
      </w:r>
    </w:p>
    <w:p>
      <w:r>
        <w:rPr>
          <w:b w:val="0"/>
        </w:rPr>
        <w:t xml:space="preserve">I egenskap af ledamot i lagutskottet har jag ingen anmärkning att framställa mot det förslag, som föreligger i det föredragna memorialet. Lagutskottet har haft skyldighet att lemna förslag till sammanjemkning mellan kamrarnes olika beslut och har, så vidt jag förstår, på ett tillfredsställande sätt fullgjort detta. Men såsom ledamot af kammaren vill jag yrka afslag å detta förslag och tillåter mig upprepa, hvad jag vid frågans första behandling yttrade. Det är, så vidt jag förstår, oförenligt med de principer, hvarpå vår familjerätt är byggd, att medgifva arfsrätt åt oäkta barn på annat sätt än genom ett uttryckligt förklarande af modern, att </w:t>
      </w:r>
      <w:r>
        <w:rPr>
          <w:b/>
        </w:rPr>
        <w:t>hon²</w:t>
      </w:r>
      <w:r>
        <w:rPr>
          <w:b w:val="0"/>
        </w:rPr>
        <w:t xml:space="preserve"> vill tillerkänna det sådan rätt. Så länge de lösa förbindelserna hvarken enligt lag eller den allmänna sedliga uppfattningen äro likstälda med äktenskapsförbindelser, så får man, med allt behjertande af de oäkta barnens ofta svåra ställning, finna sig i, att dessa oäkta barn icke få samma familjerättigheter som äkta barn. Redan denna principiella uppfattning är tillräcklig för mig att yrka afslag på ett förslag, som skulle i väsentlig mån förrycka de principer, hvarpå vår familjerätt är byggd. Men dessutom skulle praktiska olägenheter följa af en sådan lagstiftning, som här ifrågasatts. Såsom erinrades, då frågan förra gången förevar, har en sådan lagbestämmelse införts i flera andra länder. Erfarenheten från dessa länder visar kanske icke så många rättegångar om arfsrätt för oäkta barn och deraf följande skandaler, men så mycket mera enskilda utpressningsförsök, hvilka ofta lyckats. Det har nemligen ej sällan händt, att, då en aktad familjemoder fallit ifrån, uppträdt en utpressare, som satt sig 1 förbindelse med ett af okända föräldrar födt barn och påstått, att detta barn är den aflidnas före äktenskapet födda barn. Både utpressaren och familjen veta allt för väl, att något bevis icke kan åvägabringas härom, men det kan ju vara möjligt, att den aflidna före sitt äktenskap haft någon helt oskyldig förbindelse; men under sådana förhållanden, att dessa, framstälda på ett insidiöst sätt, kunna tänkas kasta någon skugga på </w:t>
      </w:r>
      <w:r>
        <w:rPr>
          <w:b/>
        </w:rPr>
        <w:t>hennes²</w:t>
      </w:r>
      <w:r>
        <w:rPr>
          <w:b w:val="0"/>
        </w:rPr>
        <w:t xml:space="preserve"> minne. Detta vilja de efterlefvande undvika, och för att slippa en rättegång och deraf följande större eller mindre skandal, lemnas utpressaren en kanske ej sällan betydlig del af den egendom, som eljest skulle tillfallit de lagliga och enda verkliga arfvingarne. Det kan enligt min mening ej vara rätt att medverka till att i vårt land möjliggöra dylika utpressningar. Jag tror, att förhållandena i vårt land icke betinga så långt gående förändringar i förhållandena, som här ifrågasatts. Hade det varit möjligt, skulle jag nu yrka bifall till min reservation vid lagutskottets hemställan förra gången, men då jag nu icke har annat val än att yrka afslag eller bifall å utskottets nu föreliggande sammanjemkningsförslag, tillåter jag mig yrka afslag derå.</w:t>
      </w:r>
    </w:p>
    <w:p>
      <w:pPr>
        <w:pStyle w:val="Heading2"/>
      </w:pPr>
      <w:r>
        <w:t>4. Hugo Hedenstierna (Första kammarens protektionistiska parti, man)</w:t>
      </w:r>
    </w:p>
    <w:p>
      <w:r>
        <w:rPr>
          <w:b w:val="0"/>
        </w:rPr>
        <w:t xml:space="preserve">Då denna fråga förra gången förelåg till kammarens pröfning, tillät jag mig fästa uppmärksamhet å den fara, som för ordnade arfsförhållanden skulle uppstå, om en lag antages, som går ut på, att fri bevisning eller ett blott och bart erkännande af </w:t>
      </w:r>
      <w:r>
        <w:rPr>
          <w:b/>
        </w:rPr>
        <w:t>moder²</w:t>
      </w:r>
      <w:r>
        <w:rPr>
          <w:b w:val="0"/>
        </w:rPr>
        <w:t xml:space="preserve"> inför hvem som helst skall vara tillräckligt att berättiga ett utom äktenskap födt barn att taga arf efter </w:t>
      </w:r>
      <w:r>
        <w:rPr>
          <w:b/>
        </w:rPr>
        <w:t>moder²</w:t>
      </w:r>
      <w:r>
        <w:rPr>
          <w:b w:val="0"/>
        </w:rPr>
        <w:t xml:space="preserve"> lika med inom äktenskap födda barn. Jag hänvisar till det af mig då framstälda krafvet, att arf icke må i lag tillerkännas sådant barn, med mindre att modern inför någon behörig myndighet erkänt det oäkta barnet såsom sitt, och anser fortfarande, att den kyrkans och statens embetsman, som helgar familjebanden, är den mest egnade att emottaga en dylik förklaring, hvilken i så fall kunnat under viss i lag stadgad form antecknas i kyrkoboken. Med en sådan åsigt är det naturligtvis för mig icke möjligt att godkänna det af lagutskottet nu framlagda sammaujemkningsförslaget, hvilket helt och hållet utesluter en sådan anmälan och behöfligheten af dylik anteckning, utan yrkar jag detsammas ogillande.</w:t>
      </w:r>
    </w:p>
    <w:p>
      <w:pPr>
        <w:pStyle w:val="Heading2"/>
      </w:pPr>
      <w:r>
        <w:t>5. Edvard Herman Rodhe (–, man)</w:t>
      </w:r>
    </w:p>
    <w:p>
      <w:r>
        <w:rPr>
          <w:b w:val="0"/>
        </w:rPr>
        <w:t>Jag var icke närvarande i kammaren förra gången, då detta ärende behandlades. Hade jag det varit, hade jag utan tvekan stält mig på herrar Hasselrots med fleres sida och yrkat bifall till deras reservation. Det kan väl synas, som om det låge något berättigadt i deras sätt att resonera, som yrkat bifall till utskottets förslag eller herr Berlins reservation, och jag vill icke bestrida dem deras rätt, då de påstå sig vara ledda af ett sedåligt intresse, när de framstält sitt yrkande, intresset att taga sig an de oskyldigt lidande barnen. Men det är ett ännu större sedligt intresse, som genom bifall till deras yrkande sättes på spel. Det lärer icke kunna bestridas, att i samma mån man i nu förevarande hänseende söker utplåna skilnaden mellan de äkta och oäkta barnen och söker likställa dem med hvarandra, i samma mån försvagar man medvetandet om det brottsliga och förkastliga i ett osedligt lif, försvagar medvetandet om äktenskapets och familjelifvets helgd, och den skada, som vållats häraf, anser jag vara ojemförligt större än den jemförelsevis ringa skada, som drabbar de små barnen deruti, att de gå miste om arfsrätt.</w:t>
        <w:br/>
        <w:br/>
        <w:t>Jag är således lifligt intresserad för, att frågan förfaller vid denna riksdag, och jag yrkar på denna grund afslag å sammanjemkningsförslaget.</w:t>
      </w:r>
    </w:p>
    <w:p>
      <w:pPr>
        <w:pStyle w:val="Heading2"/>
      </w:pPr>
      <w:r>
        <w:t>6. Raoul Hamilton (Frisinnade folkpartiet, man)</w:t>
      </w:r>
    </w:p>
    <w:p>
      <w:r>
        <w:rPr>
          <w:b w:val="0"/>
        </w:rPr>
        <w:t xml:space="preserve">Hvar och en, som hyser den uppfattning, jag tagit mig friheten understödja i denna kammare för några veckor sedan — eller den, att icke den ene skall straffas för den andras brott och att sedligheten icke vinner något derpå, att lagen beröfvar de oskyldiga barnen deras rättighet för att försona den brottsliga </w:t>
      </w:r>
      <w:r>
        <w:rPr>
          <w:b/>
        </w:rPr>
        <w:t>moderns²</w:t>
      </w:r>
      <w:r>
        <w:rPr>
          <w:b w:val="0"/>
        </w:rPr>
        <w:t xml:space="preserve"> felsteg — kan icke vara annat än belåten med det resultat, hvartill utskottet kommit i detta förslag. Det skiljer sig från Första Kammarens förut fattade beslut, deruti att modern slipper erkänna sitt barn,</w:t>
        <w:br/>
        <w:br/>
        <w:t xml:space="preserve">och mig synes detta vara en fördel, så mycket mer som det kan inträffa, att modern vid dödsbädden, måhända då </w:t>
      </w:r>
      <w:r>
        <w:rPr>
          <w:b/>
        </w:rPr>
        <w:t>hon²</w:t>
      </w:r>
      <w:r>
        <w:rPr>
          <w:b w:val="0"/>
        </w:rPr>
        <w:t xml:space="preserve"> får barnet, icke är i stånd att erkänna det. </w:t>
      </w:r>
      <w:r>
        <w:rPr>
          <w:b/>
        </w:rPr>
        <w:t>Hon²</w:t>
      </w:r>
      <w:r>
        <w:rPr>
          <w:b w:val="0"/>
        </w:rPr>
        <w:t xml:space="preserve"> önskar göra det, men </w:t>
      </w:r>
      <w:r>
        <w:rPr>
          <w:b/>
        </w:rPr>
        <w:t>hon²</w:t>
      </w:r>
      <w:r>
        <w:rPr>
          <w:b w:val="0"/>
        </w:rPr>
        <w:t xml:space="preserve"> kan icke. Skall då barnet gå miste om sin arfsrätt? Det har af lagutskottets ärade ordförande framhållits, att många praktiska olägenheter äro förenade med lagförslaget, men jag erinrar, att det är barnet, som. skall förebringa bevisningen, och kan det icke fullgöra detta, förfaller ju saken. Vidare åberopade han, att denna lag, om den blefve gällande, kunde föranleda utpressningsförsök, af den anledning, att det finnes vissa familjeförhållanden, som man icke ville hafva framdragna i dagen. Jag föreställer mig, att sådana försök kunna göras äfven om barnet saknar arfsrätt, ty i hvarje fall vill man icke, att förhållanden skola komma fram, som nedsvärta familjen, och man betalar för att undgå detta. Jag kan ej inse, att sedligheten vinner något på, att lagen straffar den ene för den andres brott. Jag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