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w:t>
      </w:r>
    </w:p>
    <w:p>
      <w:r>
        <w:rPr>
          <w:b/>
        </w:rPr>
        <w:t xml:space="preserve">Datum: </w:t>
      </w:r>
      <w:r>
        <w:t>1902-02-18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Törner (Första kammarens protektionistiska parti, man)</w:t>
      </w:r>
    </w:p>
    <w:p>
      <w:r>
        <w:rPr>
          <w:b w:val="0"/>
        </w:rPr>
        <w:t>Såsom bekant, är hvarje förmyndare skyldig att en gång om året, under loppet af januari och februari månader, inkomma med sin förmyndareredovisning till gode männen; och tillkommer det då desse gode män att granska denna redovisning samt tillse, att myndlingens tillgångar äro placerade på ett betryggande sätt. För min del — jag är nemligen god man inom Vexiö distrikt — går jag till väga på det sätt, att jag låter resp. förmyndare för hvarje gång för mig uppvisa sina säkerhetshandlingar. Jag ser således en gång om året, att dessa handlingar verkligen finnas i förmyndarens vård. Jag förmodar, att många andra gå till väga på samma sätt som jag, men nog fins det väl en och annan, som icke iakttager denna försigtighet. Dessutom låter jag mig angeläget vara att, så vidt möjligt är, taga reda på, huru resp. förmyndare sköta sig i allmänhet, och om i afseende härå någon anmärkning skulle vara att framställa. Men oaktadt jag i likhet med många andra iakttager denna den strängaste kontroll, som man enligt min åsigt är berättigad att utöfva, så är jag säker på och sjelf icke utan egen erfarenhet om, att åtskilliga förluster dels hafva inträffat, dels ock endast genom en slump, en ren tillfällighet kunnat undvikas.</w:t>
        <w:br/>
        <w:br/>
        <w:t>Jag skulle kunna omtala många exempel till stöd för detta mitt påstående, men jag vill endast nämna ett par. Det var en förmyndare, som bodde i Vexiö. Han var industriidkare, hade en god affär, skötte sig väl, ansågs hafva en mycket god ekonomisk ställning och förde ett redbart lefnadssätt. Af en händelse fann jag i Kronobergs läns sparbanksdirektion, af hvilken jag är medlem, att denne man hade invecklat sig i borgensförbindelser. Jag hade icke fått veta detta, om jag ej tillhört direktionen. Dessa borgensförbindelser syntes mig vara något vågade och kanske väl stora i förhållande till hans ekonomiska situation. Med anledning häraf sade jag, då han följande år kom till mig med sin förmyndareredovisning och dervid företedde en inteckning såsom säkerhet: denna inteckning behåller jag. Jag lemnade honom ett recepisse, som för honom skulle utgöra ett slags qvitto. Jag öfverskred härvid min befogenhet; jag gjorde hvad jag icke egde rättighet till. Men inom två år derefter hade denne man gjort konkurs, hufvudsakligen på grund af borgensförbindelser, och säkert är, att om jag ej tagit denna inteckning, så hade myndlingens medel varit borta. Der se vi således, att ett gode mannens öfverskridande af sin befogenhet och en lycklig tillfällighet räddade myndlingens egendom.</w:t>
        <w:br/>
        <w:br/>
        <w:t xml:space="preserve">Ett annat exempel skall jag be få nämna. Det var en embetsman, som var förmyndare för sin son. Denne son hade genom donation -— således ej genom arf efter sin </w:t>
      </w:r>
      <w:r>
        <w:rPr>
          <w:b/>
        </w:rPr>
        <w:t>moder²</w:t>
      </w:r>
      <w:r>
        <w:rPr>
          <w:b w:val="0"/>
        </w:rPr>
        <w:t xml:space="preserve"> -— fått en hel</w:t>
        <w:br/>
        <w:br/>
        <w:t>tänka förmyndaren för att vanvårda sina eller sin myndlings tillgångar. Tvärtom! Han hade också god lön. Men hvad inträffade? Jo, utan att man hade anledning att misstänka det, fick han, som iklädt sig ett slags uppbördsborgen, betala ut en stor summa, hvilken han ej af egna medel kunde gälda, och derför blef han nödsakad att tillgripa af de donerade medlen och realisera en del af myndlingens papper för att med dem befria sig från sin borgensförbindelse. Vid följande årsredovisning lemnade han i stället för dessa bristande papper en revers, utfärdad af honom sjelf. Denna revers var visserligen säker under den förutsättningen, att reversutgifvaren finge lefva under en följd af år och med sin lön och öfriga inkomster amortera af densamma. Derest åter motsatt förhållande inträffade, skulle en stor del af detta belopp aldrig kunna utgå till myndlingen. Hvad skulle nu gode mannen göra i sådant fall? Skulle han insistera på att förmyndaren skulle lemna bättre säkerhet det året — det kunde denne icke göra — och skulle han i sådant fall anmäla honom såsom ovärdig att sköta sitt värf såsom förmyndare — det hade varit att skada honom — eller skulle han låta udda vara jemnt? Lyckligtvis fick mannen lefva, sonen blef myndig och fick successive ut ifrågavarande belopp.</w:t>
        <w:br/>
        <w:br/>
        <w:t>Det var således två fall, der kontroll omöjligt skulle kunnat hindra en förskingring och en spoliering af myndlingars tillgångar, men der lyckliga omständigheter, hvilka ingen kunnat beräkna, förekommo sådan spoliering, och jag skulle kunna nämna en mångfald sådana.</w:t>
        <w:br/>
        <w:br/>
        <w:t>I dessa båda fall voro förmyndarne fäder, om hvilka man väl ej kan antaga annat, än att de vilja sina barns bästa och således endast i nödfall tillgripa deras medel. Men huru många gånger utgöras ej förmyndarne af oskylda personer, som mottaga stora penningsummor och värdehandlingar, och för hvilka det kan vara af stor betydelse att i affärer begagna sig af dessa medel? Det är der faran ligger, ej så mycket der förmyndaren är fader, utan der förmyndaren är en annan person, som under tiden mellan revisionsdagarne har fria händer. Man kan visserligen säga, att han, när han följande år kommer tillbaka och ej kan rätta det anmärkta missförhållandet, skall afsättas. Ja, men, mine herrar, då han följande år kommer tillbaka, då är en del af myndlingens medel borta, och om man afskedar förmyndaren och denne ej kan honorera hvad han förstört, då får myndlingen vidkännas förlusten.</w:t>
        <w:br/>
        <w:br/>
        <w:t>Det är just på grund af dessa förhållanden och den erfarenhet i dessa ärenden, som jag vunnit, som jag framlagt den ena af de två motioner, som nu föreligga till behandling, för att derigenom i någon mån kunna förskaffa bättre skydd för myndlingars medel.</w:t>
        <w:br/>
        <w:br/>
        <w:t>Huru svarar nu lagutskottet på detta förslag? Jo, säger lagutskottet i slutet af sid. 5 i betänkandet: »den kontroll å förmyndareförvaltningen, som redan finnes föreskrifven&gt; — och sedan</w:t>
        <w:br/>
        <w:br/>
        <w:t>tillägger utskottet mycket försigtigt — »kan nog, rätt använd, besitta en hög grad af effektivitet». Således, det är icke något absolut påstående, och det är på samma gång en modifikation af effektiviteten, som ligger i dessa ord. Jag vill ej på något sätt bestrida, att icke detta påstående är sant. Det är sant, att kontrollen har sin betydelse och att den mången gång kan förekomma förluster — jag har nyss nämnt ett fall. Den kan vara temligen effektiv; fullt effektiv blir den dock aldrig.</w:t>
        <w:br/>
        <w:br/>
        <w:t>Nu tillägger emellertid utskottet, att utskottet ej vill förneka, att kontrollen understundom ej utöfvas med nödig skärpa, och vid sådant förhållande bör man, säger utskottet, söka åstadkomma en förbättring. Derför framställer också lagutskottet ett förslag i den rigtningen, att denna verksamhet skulle jemföras med sparbanksväsendet. Jag tror emellertid, att denna jemförelse ej är fullt lycklig, ty enligt min mening, äro dessa verksamhetsområden i mångt och mycket skilda. Derför att vid något tillfälle eller på något ställe icke utöfvats tillräckligt sträng kontroll, derför skola, föreslår utskottet, inom särskilda distrikt, äfven der gode männen äro tillräckligt stränga och fullt samvetsgranna i sin kontroll, tillsättas inspektörer. Jag vill då endast i parentes påpeka, att dessa inspektörer skulle väl hafva någon ersättning, och denna ersättning skulle väl utgå af myndlingens medel. Således skulle detta förslag innebära en ökad utgift för förvaltningen af myndlingens egendom.</w:t>
        <w:br/>
        <w:br/>
        <w:t>Men hvilken uppgift skulle då dessa inspektörer få? Jo, enligt utskottets förslag två uppgifter. Den ena skulle bestå deri, att de skulle deltaga i utöfvandet af tillsyn öfver förmyndarnes förvaltning, d. v. s. de skulle i detta afseende ställas jemsides med gode männen. De skulle komplettera eller biträda gode männen i att se efter, huru förmyndarne under årets lopp, dag efter dag, månad efter månad förvaltat myndlingarnas medel, ty gode männen anses icke ensamme tillräcklige för att utöfva denna tillsyn. Jag tror för min del, att de äro lika tillräcklige som en inspektör, under den förutsättning, att gode männen väljas med urskilning.</w:t>
        <w:br/>
        <w:br/>
        <w:t>Det andra uppdraget, som inspektörerna skulle hafva, vore att kontrollera gode männen, det vill säga att se efter, huru gode männen fullgjort sitt granskningsuppdrag. De skulle verkställa, så att säga, en eftergranskning. Jag kan icke förstå annat, än att de skulle infordra en eller flere gånger under året förmyndares redovisningsräkningar för att granska dem och undersöka, huruvida den af gode männen verkstälda granskningen varit fullt tillfredsställande. Inspektörerne skulle således blifva ett slags öfvergodemän eller ett slags andra grads öfverförmyndare.</w:t>
        <w:br/>
        <w:br/>
        <w:t>Jag anser, att en dylik åtgärd, äfven om den inom ett eller annat distrikt skulle hafva sin betydelse, dock i stort sedt vore alldeles öfverflödig och äfven skulle förorsaka onödiga utgifter. Blefve, säger deremot lagutskottet, denna kontroll genom inspektörer fullständig, då skulle någon vidare åtgärd icke behöfva vidtagas, och</w:t>
        <w:br/>
        <w:br/>
        <w:t>Om förbättman skulle kunna bibehålla den ordning, vi för närvarande hafva för</w:t>
        <w:br/>
        <w:br/>
        <w:t>förvaltningen af omyndiges medel, hvilken ordning enligt utskottets uppfattning är tillfredsställande. Ja, det är just det jag betviflar</w:t>
        <w:br/>
        <w:br/>
        <w:t>omyndiges i högsta grad. Jag tror icke, att desse inspektörer, om de skulle</w:t>
        <w:br/>
        <w:br/>
        <w:t>deltaga i kontrolleringen, kunde bättre förekomma förskingring af omyndiges medel, än som sker med den nuvarande ordningen.</w:t>
        <w:br/>
        <w:br/>
        <w:t>Jag förstår mycket väl, hvarför lagutskottet icke vill rubba den nuvarande ordningen för förvaltningen. Det är derför, att lagutskottet befarar, att, ehuruväl motionärerne icke talat om något visst sätt, det dock ligger underförstådt i deras motioner, att det skulle inrättas så kallade förmyndarekammare, emedan för två år sedan inom Andra Kammaren en önskan i den rigtningen uttalades. Det är emellertid åtminstone icke min mening. Jag har liksom herr Waldenström i sin motion -— såsom utskottet också säger — icke åberopat och ännu mindre uttryckligen angifvit, på hvilket sätt man skulle skaffa ett större skydd för myndlingarnas egodelar; och jag har icke underlåtit det derför, att jag icke skulle kunnat angifva några sätt, utan derför att jag anser, att Kongl. Maj:t bra mycket bättre än någon motionär skall kunna finna något sätt för åstadkommande af bättre skydd för förvaltningen af omyndiges egendom. Jag vill derför, att man skulle i skrifvelse hemställa till Kongl. Maj:t att pröfva, först och främst om någon ändring behöfdes, och för det andra i så fall, huru ändringen skulle verkställas. «Lagutskottet framhåller såsom ett skäl mot inrättande af förmyndarekammare — och jag instämmer kraftigt deruti med lagutskottet — att förmyndarekammare skulle åstadkomma ökade utgifter för myndlingarna. Ja, det skulle ju äfven inspektörerne göra. Det är fråga om, hvilkendera institutionen skulle blifva dyrast. Vidare anför lagutskottet — och det är ett talande skäl — att, om förmyndarekammare skulle taga hand om de omyndiges medel, man riskerade, satt myndlingarna ej skulle få så stor afkastning af dem, som om enskilde personer förvaltade dem. Detta är nog också sant. Slutligen tillägger utskottet, att inrättandet af förmyndarekammare skulle orsaka förmyndarne mycket besvär med brefvexling för att få ut medel eller afkastning af innestående medel, när så behöfdes.</w:t>
        <w:br/>
        <w:br/>
        <w:t xml:space="preserve">Jag vill då säga, att jag verkligen tänkt mig ett sätt, fastän jag icke framstält det i motionen, och efter jag nu har ordet, skall jag be att få i korta drag antyda beskaffenheten och arten deraf. Jag är icke med om förmyndarekammare af de skäl, som lagutskottet anfört och i hvilka jag instämmer. Jag skulle deremot vilja, att förmyndarne indelades i två kategorier. Den ena skulle vara efterlefvande fader eller </w:t>
      </w:r>
      <w:r>
        <w:rPr>
          <w:b/>
        </w:rPr>
        <w:t>moder²</w:t>
      </w:r>
      <w:r>
        <w:rPr>
          <w:b w:val="0"/>
        </w:rPr>
        <w:t xml:space="preserve"> såsom förmyndare för sina barn, och den andra kategorien skulle vara förmyndare för föräldralösa barn.</w:t>
        <w:br/>
        <w:br/>
        <w:t>Hvad den första kategorien beträffar, skulle jag icke hafva någonting emot, att, om det visade sig, att myndlingarnas arfslott vore obetydlig eller vore på det sätt bunden i den efterlemnade qvarlåtenskapen, att ett utbrytande deraf skulle kunna vara skadligt</w:t>
        <w:br/>
        <w:br/>
        <w:t xml:space="preserve">för den efterlefvande makens ekonomiska ställning eller för bedrif- Om förbättvande af hans verksamhet, vare sig jordbruk eller industriel verkb rade lag- 3 s . å 2 estämmelser samhet, förvaltningen af boet i dess helhet finge fortgå på samma till skydd för sätt som förut. Om återigen arfslotten vore betydlig och så betydlig, omyndiges att den icke behöfde stå qvar i boet, skulle mått och steg vidtagas egendom. för skyddande af barnens medel. Helst skulle jag dock vilja, att (Forts) det vore i vårt land som i Danmark, der det är stadgadt eller åtminstone tillåtet, att, om en fader dör och efterlemnar </w:t>
      </w:r>
      <w:r>
        <w:rPr>
          <w:b/>
        </w:rPr>
        <w:t>hustru²</w:t>
      </w:r>
      <w:r>
        <w:rPr>
          <w:b w:val="0"/>
        </w:rPr>
        <w:t xml:space="preserve"> eller tvärtom, den efterlefvande får vara i orubbad besittning af hela qvarlåtenskapen utan någon redovisningsskyldighet. Detta förefaller mig såsom en billighet. Vår lag lägger nu hinder i vägen för ett sådant förfarande. Men jag kan icke annat än anse det hårdt, att, sedan en fader och en </w:t>
      </w:r>
      <w:r>
        <w:rPr>
          <w:b/>
        </w:rPr>
        <w:t>moder²</w:t>
      </w:r>
      <w:r>
        <w:rPr>
          <w:b w:val="0"/>
        </w:rPr>
        <w:t xml:space="preserve"> samfäldt skaffat sig en oberoende ekonomisk ställning, som tryggar deras ålderdom, vid enderas bortgång en förryckning skall ske i ekonomien på grund af lagens stadgande. Det har jag alltid ansett obilligt. Men det är nu så bestämdt, och när en lag finnes, får man lof att böja sig för den och låta den blifva så effektiv som möjligt. Med afseende åter å den andra kategorien af förmyndare, oskylde sådana, som icke sällan få mottaga stora summor att förvalta, så stora, att med hänsyn till dem förmynderskapen mången gång äro särskildt eftersträfvade, måste man vara mycket försigtigare, än som nu är möjligt vid skyddandet af myndlingarnas egodelar. Nu stå myndlingarna med afseende å skyddet af sina egodelar, om icke rättslösa, så åtminstone så godt som på gränsen mellan rättssäkerhet och rättslöshet. Jag är viss, att mången ledamot i denna kammare, som har barn, skulle med tacksamhet tänka sig, att, när han eller hans </w:t>
      </w:r>
      <w:r>
        <w:rPr>
          <w:b/>
        </w:rPr>
        <w:t>hustru²</w:t>
      </w:r>
      <w:r>
        <w:rPr>
          <w:b w:val="0"/>
        </w:rPr>
        <w:t xml:space="preserve"> eller de begge fölle bort, ett sådant skydd funnes för den efterlemnade förmögenheten, att deraf först och främst kunde tagas hvad som behöfdes för barnens uppfostran och sedan också blifva något öfrigt för barnen att börja sin verksamhet med. Ett sådant skydd finnes de facto icke nu. Särskildt för den andra kategorien skulle jag vilja hafva ett säkrare skydd. Men hurudant skall skyddet vara? Jo, i Norge är det stadgadt, att alla en myndling tillskiftade värdepapper skola af en god man förses med en prohibitiv stämpel, hvilken omöjliggör för förmyndaren att på något sätt disponera dem för sina enskilda angelägenheter. En sådan påstämpling af god man skulle, tyckes mig, äfven i vårt land kunna vara tillfredsställande. Skulle det visa sig, att på grund af ändrade konjunkturer eller inträffade förhållanden af ena eller andra slaget försigtigheten bjöde, att papperen omsattes på något sätt, kunde man ju gå så till väga, att förmyndaren samrådde med gode mannen, och att, om denne medgåfve det, åtgärd finge vidtagas i den rigtning, som förmyndaren föreslagit. Blefve förmyndaren och gode mannen icke ense, skulle frågan kunna underställas rättens pröfning. På detta sätt undveke man de kostnader, som äro förenade med förmyndarekammareinstitutionen, man undveke</w:t>
        <w:br/>
        <w:br/>
        <w:t>de svårigheter och det myckna besvär, som skulle uppstå genom skriftvexling mellan förmyndare och förmyndarekammare, och man skulle på samma gång kunna tillgodose myndlingarnas intresse, att deras medel blifva så rentabla som möjligt.</w:t>
        <w:br/>
        <w:br/>
        <w:t>Detta är nu ett sätt. Jag har nog äfven tänkt mig andra, men jag vill icke uppehålla med att framställa flera.</w:t>
        <w:br/>
        <w:br/>
        <w:t>Med anledning af hvad jag anfört har jag äran be att få tillstyrka det af herr Waldenström och mig framstälda förslaget, nemligen att skrifvelsen måtte få afse icke allenast åstadkommande af en bättre kontroll, utan äfven något mera betryggande rörande förvaltningen. Man äfventyrar ju derigenom ingenting. Man fastslår ju derigenom ingenting. Anser Kongl. Maj:t större trygghet icke behöfvas eller icke kunna åstadkommas, ja, då förfaller frågan. Anser Kongl. Maj:t åter, att det behöfves och kan åstadkommas större trygghet, få vi en ändring till stånd.</w:t>
        <w:br/>
        <w:br/>
        <w:t>Jag skall be att få yrka bifall till det i min motion framstälda skrifvelseförslaget.</w:t>
      </w:r>
    </w:p>
    <w:p>
      <w:pPr>
        <w:pStyle w:val="Heading2"/>
      </w:pPr>
      <w:r>
        <w:t>2. Carl Birger Hasselrot (–, man)</w:t>
      </w:r>
    </w:p>
    <w:p>
      <w:r>
        <w:rPr>
          <w:b w:val="0"/>
        </w:rPr>
        <w:t>Kammaren erinrar sig säkert, att denna fråga sist förevar år 1900, sålunda för två år sedan. Den diskussion, som då egde rum i denna kammare, var, såvidt jag förstår, fullt sakrik och uttömmande. Under denna diskussion hade den ärade motionären tillfälle såväl att uttala sin mening som äfven att framlägga just det skrifvelseförslag, som han nu i sin motion åter framburit. Såvidt jag uppfattat hans i dag hållna anförande, innehöll detsamma intet nytt utöfver hvad som förekom år 1900. Både för förhållandena i Danmark och för det norska förfarandet att stämpla myndlingars värdepapper redogjordes äfven då. Då stodo i kammaren två starkt motsatta principer mot hvarandra: en, som ville undanrödja de bestående missförhållandena med afseende å förmyndares ställning till sina myndlingar genom skärpt kontroll, och en annan — nu representerad af motionären — som ej ansåg skärpt kontroll tillräcklig, utan jemväl ville hafva inskränkning i afseende å förvaltningen, antingen genom inrättande af förmyndarekamrar eller på annat sätt. Sedan diskussionen var afslutad och alla meningar blifvit klart och tydligt framstälda, intog kammaren med en majoritet af 73 röster mot 36 den ståndpunkt, att i vårt land man under nuvarande förhållanden icke bör gå längre än till skärpt kontroll.</w:t>
        <w:br/>
        <w:br/>
        <w:t>Enligt min mening är ställningen nu densamma som år 1900, utan att någon förändring kunnat af motionären påvisas, och jag skall be att i korthet få rekapitulera de skäl, som anfördes å den sida, för hvilken lagutskottet då som nu uttalat sig.</w:t>
        <w:br/>
        <w:br/>
        <w:t>Jag ber då att först och främst få påpeka, att förmyndareinstitutionen i vårt land med de brister, som vidlådt densamma, dock i stort sedt och i allmänhet visat ett tillfredsställande och godt resultat. I den domsaga, jag närmast känner till, gå förmynderskapens antal till något öfver 1,000. Domsagornas antal i vårt land är något öfver</w:t>
        <w:br/>
        <w:br/>
        <w:t xml:space="preserve">100. Efter jemn fördelning skulle antalet förmynderskap på lands- Om förbättbygden då vara omkring 120,000. ”Tillägger jag förmynderskapen i b rade lag: Å s : 3 S o estämmelser städerna, om hvilka lika litet som om dem å landsbygden Någon tll skydd för exakt statistik finnes, tror jag, att man kan antaga, att förmynderomyndiges skapen i hela vårt land uppgå till öfver 200,000. Och om det egendom. också är sant, att i enstaka fall myndlingar blifvit lidande på sina = (Forts.) förmyndares vårdslösa eller bedrägliga förhållande, måste dock detta i betraktande af det stora antalet förmynderskap anses såsom undantagsfall. Nu vill jag dock icke säga, att, äfven om dessa fall äro enstaka och undantagsfall, man icke bör göra hvad rimligt och skäligt är för att undanrödja jemväl dylika missförhållanden. Men då man skall välja medel derför, skall man välja medel, som väl, så vidt möjligt är, undanrödja befintliga olägenheter, utan att på samma gång i annan rigtning åstadkomma större svårigheter, än dem man lyckas aflägsna. Detta blefve enligt min mening händelsen, derest man gåfve sig in på en sådan begränsning af förvaltningen som den, motionären ifrågasatt. Förhållandena i vårt land ställa sig icke lika med förhållandena i andra länder. Man kan sålunda icke jemföra förhållandena i Danmark och andra mera kapitalstarka länder med förhållandena hos oss. Det är sällsynt, att förmögenheten i sterbhus i vårt land till större del består i obligationer och andra värdepapper. I regel består förmögenheten i svenska sterbhus af vanlig lösegendom, fastighet eller inrättningar för fabriks- eller annan yrkesdrift med åtföljande inventarier och det större eller mindre rörelsekapital, som erfordras för rörelsens bedrifvande. Nu säger den ärade motionären, att man, för den händelse att make lefver efter, kunde hafva en sådan bestämmelse, som lärer finnas i Danmark, att boet får vara oskiftadt och skötas af den cefterlefvande maken, så länge den lefver, i oförändradt skick. Jag tror, att vår lagstiftning är bättre. Det går ju också mycket bra för sig, att, sedan genom skifte utrönts, hvad barnen anses ega, den efterlefvande maken får förvalta och sköta egendomen, dels för egen del, dels såsom förmyndare, på sätt hittills varit vanligt i vårt land. Detta förefaller mig till och med redigare och bättre ordnadt. Det blefve eljest alltid svårt att efter båda föräldrarnes frånfälle konstatera, huru mycket barnens arfslotter utgjorde. Antag t. ex., att på ett jordbruk å landet </w:t>
      </w:r>
      <w:r>
        <w:rPr>
          <w:b/>
        </w:rPr>
        <w:t>hustrun²</w:t>
      </w:r>
      <w:r>
        <w:rPr>
          <w:b w:val="0"/>
        </w:rPr>
        <w:t xml:space="preserve"> faller ifrån och jordbruket sedan bedrifves samfäldt för sterbhusets räkning. Man kan då icke oförändrad hålla i hop hela komplexen med inventarier. Kreatursstammen omsättes, andra inventarier förbrukas, och under årens lopp köpes åtskillig ny redskap. Det är en ständig vexling, som förbjuder verklig egendomsgemenskap. Huru tillgår derför merendels i sådant fall? Jo, fadern arrenderar barnens anlott i fastigheten, hvarefter det hålles auktion på lösegendomen. Fadern ropar in den till det pris den betingar och använder den vid jordbrukets skötsel. Barnen få på detta sätt en fordran af fadern, för hvilken denne skall redovisa, om, när och i den mån det blir</w:t>
        <w:br/>
        <w:br/>
        <w:t>nödigt. Det är nu en gång så, att man icke kan drifva jordbruk, industri eller yrke med blott jord eller fabrik och inventarier, utan att det behöfves rörelsekapital derjemte, för att rörelsen skall kunna bedrifvas. förmånligt. Om i ett sådant fall som det nyss anförda det kapital, som tillkommer de omyndiga barnen vid lösegendomens försäljning, skall dragas från faderns förvaltning på ett eller annat sätt, vare sig genom stämplande af skuldebrefvet till barnen eller genom insättning i förmyndarekammare, skall det derför i de flesta fall blifva svårt, om icke omöjligt, för fadern att fortfarande drifva rörelsen. Och utom det att barnen på det sättet skada faderns ställning, förlora de möjligheten till arf efter honom, åtminstone i väsentlig mån.</w:t>
        <w:br/>
        <w:br/>
        <w:t>Man bör väl tänka sig förhållandena i vårt land, sådana de gestalta sig i de flesta fall, och icke allenast drifven af en varm känsla, att man vill skydda de omyndigas rätt, onödigtvis åstadkomma svårigheter, som mer än väl uppväga de undantagsfall, i hvilka oegentligheter nu någon gång förekomma. Man bör tänka på familjen i dess helhet, och man måste noga tillse, att man icke knäcker familjen, under det man uteslutande tänker på de omyndiga barnens fördel i ett visst ögonblick.</w:t>
        <w:br/>
        <w:br/>
        <w:t>Nu är det ju i det Törnerska skrifvelseförslaget icke bestämdt uttaladt, om man vill gå längre än till skärpt kontroll, men i motionärens uttalande här och i hans motivering ligger en anmaning att öfverväga, huruvida icke något annat än skärpt kontroll skulle kunna åvägabringas, och då man efter mitt förmenande ej bör skrifva om annat, än man vill hafva, skall man akta sig för att taga en kläm, i hvilken ligger mera, än man anser sig behöfva.</w:t>
        <w:br/>
        <w:br/>
        <w:t>En af hufvudpunkterna i motionärens argumentering var hans invändning mot den lilla detaljen i utskottets betänkande, som rör anställandet af inspektörer. Det håller icke jag på och icke lagutskottet heller. Vi hade en tanke på att genom en sådan institution, som för öfrigt finnes på annat håll, stärka och skärpa den kontroll, som utöfvas af gode männen. Men det finnes ett annat och bättre sätt: att fullständigt och noggrant precisera de rättigheter och skyldigheter, som åligga gode männen enligt den kanske väl knapphändigt hållna förordningen af år 1888.</w:t>
        <w:br/>
        <w:br/>
        <w:t>Min öfvertygelse är emellertid den, att genom en på lämpligt och klokt sätt skärpt kontroll sådana förluster, som i enstaka fall hittills åsamkats omyndiga, kunna i allmänhet förekommas. Att få en institution, som är absolut fullkomlig, lär ej gå för sig. Får man en institution, som i hufvudsak tillfredsställer rimliga anspråk, utan att i andra afseenden åstadkomma skada, tror jag, att man bör låta sig nöja. Under sådana förhållanden tror jag också, att kammaren gör bäst, om den i år som för två år sedan inskränker sig till att bifalla det förslag, utskottet framstält.</w:t>
      </w:r>
    </w:p>
    <w:p>
      <w:pPr>
        <w:pStyle w:val="Heading2"/>
      </w:pPr>
      <w:r>
        <w:t>3. Axel Törner (Första kammarens protektionistiska parti, man)</w:t>
      </w:r>
    </w:p>
    <w:p>
      <w:r>
        <w:rPr>
          <w:b w:val="0"/>
        </w:rPr>
        <w:t>Jag skall endast be att få säga några ord med anledning af lagutskottets ordförandes yttrande.</w:t>
        <w:br/>
        <w:br/>
        <w:t>Lagutskottets ordförande sade, att den hittills vunna erfaren- Om förbätt-</w:t>
        <w:br/>
        <w:br/>
        <w:t>heten rörande förvaltningen af omyndiges medel i allmänhet visade b rade lags 5 za : &gt; bestämmelser tillfredsställande resultat. Jag för min del tror, att resultaten i; skydd för allmänhet icke äro så tillfredsställande, som lagutskottets ordförande omyndiges anser. Några statistiska tabeller öfver förluster, som drabbat myndegendom. ligar, finnas mig veterligen icke. Men hvad som är säkert är, att = (Forts.) en mängd förluster, som drabba myndlingar, komma aldrig till allmänhetens kännedom, emedan de blifva kända först när myndlingen vid arfskiftet skall taga emot arfvet af fadern, som förvaltat medlen; och då tror jag, att det skall vara ytterst sällan, som barnen, äfven om de icke få mer än en del af arfvet, vilja bringa detta till allmänhetens kännedom eller börja process mot sin fader. Jag tror således, att förluster inträffa mycket ofta, som man icke får kännedom om. Man håller sig till dem, som väcka allmän skandal, såsom den Arvidsonska i Jönköping. Sådana talar man om; men de inträffa dess bättre mycket sällan. Men då vår affärsmoral befinner sig så djupt nere på det sluttande planet, så kan man väl hafva skäl att misstänka, att dessa fall skola upprepas -— det kan åtminstone inträffa — och då bjuder väl klokheten och försigtigheten att söka förebygga detta.</w:t>
        <w:br/>
        <w:br/>
        <w:t>Ett af hufvudskälen mot ändringen anfördes af utskottets</w:t>
        <w:br/>
        <w:br/>
        <w:t>värderade ordförande, nemligen svårigheterna för landtbrukare, särskildt de små hemmansegarne. Ja, det erkänner jag: det är en stor svårighet. Det blir bouppteckning, och tillgångarne ligga i hemmanet, kreaturen, inventarierna. Detta skall delas, och det delas på det sättet, att barnen få en fordran af fadren. Men denna fordran — hur skall den behandlas? Den lemnas naturligtvis i form af revers. Huru skall man förfara med den? Skall förmyndaren få förvalta den alldeles efter behag, så får den gifvetvis ett mer eller mindre imaginärt värde. Då är det ju ett nonsens att tala om vård af myndlingens medel. Hvad gör gode mannen? Han får se reversen år efter år, men kan icke säga, om den har någon effektiv betydelse, om den är betryggande eller icke. Om den är intecknad och förmyndaren får behålla den, hvad hindrar honom, såsom också ordföranden i lagutskottet sade, att använda den i händelse af behof af medel för jordbruket? Ja, jag skulle gerna se, att han finge göra det, men strängt taget tillåter icke lagen förmyndaren att förfoga öfver myndlingens tillgångar. Och tillåter icke lagen det, så bör man försöka göra lagen effektiv i det afseendet, och det är detta jag påstår, att man bör göra.</w:t>
        <w:br/>
        <w:br/>
        <w:t xml:space="preserve">Vidare sade ordföranden i lagutskottet, att man icke får jemföra vårt fattiga land med det förmögna Danmark. Ja, det har jag icke heller gjort i annat afseende, än att man här skulle kunna i afseende å skifte efter fader eller </w:t>
      </w:r>
      <w:r>
        <w:rPr>
          <w:b/>
        </w:rPr>
        <w:t>moder²</w:t>
      </w:r>
      <w:r>
        <w:rPr>
          <w:b w:val="0"/>
        </w:rPr>
        <w:t xml:space="preserve"> hafva samma rättigheter som i Danmark. Men jag har jemfört vårt land med Norge. Norge är väl icke ett rikare land än Sverige. Der är det så stäldt, att de hvarje myndling tillskiftade papper skola förses med en prohibitiv</w:t>
        <w:br/>
        <w:br/>
        <w:t>Om förbättstämpel, för att förmyndaren eller »Vergen», såsom han kallas, icke rade lagskall kunna på något sätt förskingra dem. Kan detta efterlefvas i</w:t>
        <w:br/>
        <w:br/>
        <w:t>fll skydd för det fattiga Norge, så bör det väl också kunna göras här. omyndiges Jag har velat uttala detta gent emot hvad ordföranden i lagegendom. utskottet anförde. (Forts.)</w:t>
        <w:br/>
        <w:br/>
        <w:t>skrifvelser, utskottsbetänkanden, riksdagsbeslutet m. m. Nog vore Ifrågasatt det en stor och beaktansvärd sak, tycker jag — om man har något ändring af s i ; o e 3 stafningsintresse för stafning och anser något vara stort i det afseendet — gitet uti det om Riksdagens ofantligt vidlyftiga handlingar kunde få stafvas på s.k. riksdagsett något modernare sätt. Ty nog är det, jag hade så när sagt trycket. komiskt, att redan år 1889 — jag har fått låna den här boken från = (Forts.) ett departement, så att den bör vara mycket säker — i ett kongl. cirkulär af den 16 november sagda år föreskrifvits, »att i seminarier för utbildande af folkskolelärare och folkskolelärarinnor, i pedagogier samt i de allmänna läroverkens tre lägsta klasser skall från början af nästkommande läsår&gt; — således redan år 1890 — »ordlista öfver svenska språket, utgifven af svenska akademien, sfette upplagan, läggas till grund för undervisningen i svensk rättskrifning». Således ända sedan år 1889 hafva allmänna läroverken och alla deras lärjudgar skrifvit efter sjette upplagan, under det att Kongl. Maj:t skrifver efter fjerde upplagan. Men så tillkommer — hvilket gör saken ännu roligare — »att från början af år 1891 enahanda bestämmelser vid afseende på undervisningen i svensk rättskrifning äfven skola tillämpas i samtliga småskolor». Nog är det väl egendomligt, att Kongl. Maj:t skall vara på efterkälken till och med i förhållande till lärjungarne i småskolorna!</w:t>
        <w:br/>
        <w:br/>
        <w:t>Jag tycker derför, att förslaget har för mig något ofantligt tilltalande. Men jag erkänner rigtigheten af en del af de formella svårigheter, som kanslideputerade påpekat.</w:t>
        <w:br/>
        <w:br/>
        <w:t>Den förnämsta af dessa svårigheter tror jag dock icke, att man bör ömma så mycket för. Det är omsorgen om herrar klippares i utskottens kanslier beqvämlighet. De skulle enligt kanslideputerades uppfattning hädanefter icke kunna såsom nu klippa ur Kongl. Maj:ts propositioner och blott ändra framställningen till oratio obliqua, utan om det blefve stadgadt, att de utgående handlingarne skulle stafvas efter sjette upplagan, så skulle de vara tvungna att äfven ändra stafningen. Jag betviflar dock icke, att i utskottens kanslier finnes tillräckligt med förmågor att göra detta.</w:t>
        <w:br/>
        <w:br/>
        <w:t>Men det finnes en enklare utväg, synes mig, och det vore att iakttaga den vanan i utskotten att, när man klipper bitar ur Kongl. Maj:ts propositioner, icke göra några ändringar till oratio obliqua, utan blott säga: &gt;Kongl. Maj:t föreslår det och det» och så citationstecken före och efter utklippet. Det kunde gå lika bra. Då komme visserligen de utgående handlingarna att stafvas efter sjette upplagan, under det att i citaten fortfarande stafvades efter fjerde, men detta vore ju icke så farligt. Om t. ex. man i en litterär afhandling citerar Stjernhjelms Hercules eller Jesper Svedbergs Schibboleth, så följer man ju dervid diplomatariskt det gamla stafningssättet. Hvarför skulle icke då Kongl. Maj:ts propositioner kunna fortfarande bevaras i sitt föråldrade stafningssätt? Det skulle just ligga någonting vördnadsbjudande deri, tycker jag. — Men jag är för min del fullt öfvertygad om, att Kongl. Maj:t skulle mycket snart komma efter,</w:t>
        <w:br/>
        <w:br/>
        <w:t>Ifrågasatt Det är dock i alla fall icke en så förfärligt stor skilnad mellan landa of fjerde och sjette upplagan, och förhållandet är verkligen, att, såsom sättet Ht det kanslideputerade erinra, i en del officiella handlingar, som ingå i s. k. riksdagsriksdagstrycket, t. ex. justitieombudsmannens embetsberättelse, är trycket. verkligen det nyare stafningssättet iakttaget. FEgendomligt nog har (Forts.) jag — med ledning af en kammarens ledamot, som står här framför mig — upptäckt, att i sjelfva 1889 års cirkulär förekommer ett ord, stafvadt efter ordlistans sjette upplaga. Det är ordet »där&gt;, som Kongl. Maj:t eljest stafvar med e, men här står stafvadt med ä. Jag tror således icke, att reformen skulle möta så stora svårigheter; och nog skulle den innebära en kraftig hjelp från statsmakternas</w:t>
        <w:br/>
        <w:br/>
        <w:t>sida för ett förnuftigt framåtskridande i stafningsfrågan.</w:t>
        <w:br/>
        <w:br/>
        <w:t>Då emellertid denna framställning icke tillkommit genom någon motion, utan blott genom en muntlig framställning från en ledamot af andra kammaren, öfver hvilken framställning kanslideputeratle yttrat sig, synes den mig lida af brister i formelt hänseende. Jag vågar derför icke yrka direkt bifall till herr Lindgrens reservation om bifall till framställningen. Men jag skulle önska — och jag kan icke tro, att kammaren skall kunna motsätta sig detta — att man finge vinna tid, så att frågan kunde få en formenlig behandling. Det är derför jag skall taga mig friheten yrka återremiss till kanslideputerade. Under tiden torde en motion i ämnet komma att väckas, och frågan kommer äfven ur formel synpunkt i en fullt tillfredsställande situation.</w:t>
        <w:br/>
        <w:br/>
        <w:t>Jag yrkar återremiss.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