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915</w:t>
      </w:r>
    </w:p>
    <w:p>
      <w:r>
        <w:rPr>
          <w:b/>
        </w:rPr>
        <w:t xml:space="preserve">Datum: </w:t>
      </w:r>
      <w:r>
        <w:t>1902-04-10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Widen (Liberala samlingspartiet, man)</w:t>
      </w:r>
    </w:p>
    <w:p>
      <w:r>
        <w:rPr>
          <w:b w:val="0"/>
        </w:rPr>
        <w:t>Herr talman! Mine herrar! Jag skall i olikhet med de båda sista talarne anhålla att få yrka bifall till paragrafen, sådan som den af utskottet föreslagits.</w:t>
        <w:br/>
        <w:br/>
        <w:t>Jag vill då till en början säga, att jag lika litet som den ärade talaren på stockholmsbänken i allmänhet är benägen att utvidga den administrativa justicens område och att jag skulle kunna skrifva under i hufvudsak hvad han i sådant afseende sagt. Men vi få icke af den tvifvelsutan rigtiga principen låta förleda oss till att, då det gäller tillämpningen i afseende å ett särskildt förslag, sådant som nu föreliggande, vidtaga åtgärder, som med hänsyn till det praktiska resultatet skulle visa sig mindre tillfredsställande. I det hänseendet anhåller jag först att få åberopa — redan utskottet har antydt det, men jag ber i alla fall att få erinra derom — exemplet från våra grannländer, der en lagstiftning i samma rigtning dels blifvit genomförd och dels ifrågasatt att genomföras. I Norge har nemligen en ny lag i detta hänseende blifvit antagen, och i Danmark föreligger ett lagförslag. I båda dessa förekommer bestämmelse derom, att de nu ifrågavarande ärendena icke skola behandlas af domstol. Jag vill särskildt erinra, att i motiven till det lagförslag, som ligger till grund för den nu gällande norska lagen, nordens sannolikt, ja med all säkerhet, främsta auktoritet på lagstiftningens område, den nyligen aflidne riksadvokaten Getz, yttrar: »Efter min uppfattning kan det icke vara tillfredsställande att förlägga dessa afgöranden» (om barns skiljande från föräldrarne)» till domstolarne — — — — — — — a Detta kan i saker, der det icke så mycket är fråga om bevisning och bedömande af enskilda handlingar som angående lifsförhållanden och såväl föräldrarnes som barnets karakter i sin helhet, icke vara tillrådligt. Sådant är ofta föga lämpligt för bevisföring inför en domstol, utan bör helst kännas personligt». — 0. s. v. Vi veta också, att i Norge har såsom beslutande i dessa frågor införts icke domstol, utan en kommunal institution, som redan har fungerat någon tid och erkänts hafva fungerat bra, nemligen »Veergeraadet»&gt;. Instansen öfver detsamma är kyrkooch undervisningsdepartementet. I danska lagförslaget är också föreslaget, att dessa saker skola behandlas af kommunala myndigheter i första hand och att öfverinstansen skulle vara af administrativ art.</w:t>
        <w:br/>
        <w:br/>
        <w:t xml:space="preserve">Här har talats om att man bör tänka på att föräldrarätten omgärdas med betryggande garantier. Ja, det är icke fråga om att icke så bör ske, och, enligt utskottets förslag, har också föräldrarätten blifvit omgärdad med sådana garantier. Det har nemligen föreslagits, att hvarje beslut af barnavårdsnämnd om ett barns skiljande från föräldrarne skall delgifvas vederbörande föräldrar eller målsman. Derjemte skall dessas yttrande inhemtas, huruvida de godkänna beslutet eller icke. I det fall, att de icke godkänna beslutet eller då öräldrar och målsmän icke kunna anträffas, skall underställning af frågan hos högre myndighet ega rum. För så vidt jag kan se, måste det ställa sig i praktiken mycket säkrare och mera tillfredsställande genom sådana arrangementer, än om det lemnades rätt åt föräldrarne att gå till domstol. En fader eller </w:t>
      </w:r>
      <w:r>
        <w:rPr>
          <w:b/>
        </w:rPr>
        <w:t>moder²</w:t>
      </w:r>
      <w:r>
        <w:rPr>
          <w:b w:val="0"/>
        </w:rPr>
        <w:t xml:space="preserve"> eller målsman, som icke är nöjd med barnavårdsnämndens beslut, behöfver endast säga nej, för att saken skall underställas högre myndighets pröfning. Skulle saken från barnavårdsnämnden dragas inför domstol, lärer det icke kunna ske annorledes, än att föräldrar eller målsman måste taga initiativ dertill. Med kännedom om det besvär och den kostnad, som äro förenade med att gå till domstol, håller jag det för mycket sannolikt, att föräldrarne i de allra flesta fall skulle draga sig derför, och saken således icke komma under myndighets pröfning. Jag tänker mig, att mången gång skäl verkligen förefinnas att påkalla sådan pröfning, men att detta likväl af nyss antydda orsaker icke komme att ske, om föräldrar eller målsman skulle nödgas gå till domstol dermed. Enligt utskottets förslag deremot skulle de icke behöfva under kastasig hvarken besvär eller kostnad för den sakens skull, utan det komme att ske genom myndigheternas försorg. Af dessa, förnämligast praktiska skäl synes mig utskottets förslag innebära en afsevärd fördel i jemförelse med hvad som föreslås i den ifrågavarande motionen.</w:t>
        <w:br/>
        <w:br/>
        <w:t>Hvad nu beträffar den pröfvande myndighetens förmåga att sakligt och ingående bedöma dessa frågor, har utskottet sökt att också i det hänseendet fullständiga Kongl. Maj:ts förslag, så att det, ej mindre än om de skulle behandlas af domstol, skulle föreligga ett bestämdt och fullständigt underlag för den högre myndighetens pröfning. Det är med hänsyn dertill, som uti den nu föredragna paragrafens första moment intagits den föreskrift, att skälen för barnavårdsnämndens beslut i dessa frågor skola i beslutet angifvas och antecknas t protokollet. Den omständigheten, att skolrådet och barnavårdsnämnden äro skyldiga att göra detta, medför, att de måste tänka sig mera för, och genom protokollet beredes en grundval för den högre myndighetens pröfning. Men för resten är, såsom också utskottet erinrat, Konungens befallningshafvande, som af utskottet föreslagits att blifva andra instans i dessa mål, i tillfälle att fullständiga den utredning, som protokollet lemnar. Konungens befallningshafvande kan föranstalta om vittnesförhör, inkalla vederbörande till förhör inför länsstyrelsen eller, om han icke vill göra sig besvär dermed, förordna om förhör inför annan myndighet eller också infordra upplysningar genom sina underlydande.</w:t>
        <w:br/>
        <w:br/>
        <w:t>Jag tror, att med afseende å möjligheten att få saken i full-</w:t>
        <w:br/>
        <w:br/>
        <w:t>ständigt skick inför den högre myndigheten lemnar förslaget fullt betryggande säkerhet, sedan pröfningen i andra instans enligt utskottets förslag blifvit öfverflyttad från domkapitlen till Konungens befallningshafvande.</w:t>
        <w:br/>
        <w:br/>
        <w:t>Hvad för öfrigt angår domstolarnes lämplighet i detta fall, skall jag anhålla att få erinra derom, att de utländska föredömena icke gå i den rigtning, att de vanliga domstolarne skola afgöra dessa frågor. Deras afgörande är visserligen i alla de kontinentala länderna hänskjutet till domstolarne, men dessa domstolar äro sådana, som fungera under jemförelsevis friare former. Detta är, såsom bekant, ej förhållandet särskildt med våra underrätter på landet. Jag medgifver, att dessa underrätters sammansättning visserligen är af en mycket betryggande beskaffenhet, men det är deras funktionssätt, som är så mycket mera otillfredsställande. Som bekant, sammanträda desamma jemförelsevis sällan. Till följd häraf skulle dessa frågor komma att dragas ut på längden, hvilket jag för min del anser i hög grad olämpligt; det finnes ju trakter i vårt land, der det icke hålles ting mer än två gånger om året. Det är otvifvelaktigt olämpligt att göra dessa frågor till föremål för så långsam behandling. Både ur ekonomisk och praktisk synpunkt är det af vigt att ställa så till, att det blir ett raskare afgörande. Vidare är det så, att i många fall sjelfva behandlingen inför en domstol torde vara af den beskaffenhet, att den icke lämpar sig för dessa frågor. Det synes vara särskildt den sidan af saken, som lagstiftarne i Norge tänkt på. Den stora offentlighet, som eger rum vid domstolarne, lämpar sig icke väl, då det är fråga om att undersöka intima familjeförhållanden. Redan den omständigheten skulle sannolikt göra, att många föräldrar, som kunde hafva rätt och säkerligen också skulle få rätt, skulle draga sig för att gå till domstol och söka ut sin rätt. Jag tror, att ur praktisk synpunkt det just för föräldrarne är förmånligare, att saken behandlas inför Konungens befallningshafvande, än att den drages inför domstol.</w:t>
        <w:br/>
        <w:br/>
        <w:t>Till sist vill jag emellertid fästa uppmärksamheten derpå, att det verkligen finnes möjlighet för de föräldrar, som icke vilja åtnöja sig med det administrativa afgörandet, att få saken inför domstol, och det är genom ett användande af 10 $, som af utskottet tillagts utöfver Kongl. Maj:ts förslag. I densamma har nemligen utskottet föreslagit: »Befinnas, efter det barn blifvit på grund af barnavårdsnämnds beslut skildt från sitt hem, förhållandena i hemmet vara sådana, att barnet der kan erhålla lämplig vård och uppfostran, må barnet återlemnas till föräldrar eller målsman.» Genom detta stadgande har man afsett, att en fader eller målsman, som anser sitt hem vara sådant, att barnet utan fog skilts derifrån, eller som efteråt kommit i den ställning, att barnet utan skada kan vårdas i hemmet, kan göra framställning derom, att barnet till honom återlemnas; och får han då icke rätt på annat sätt, så har han den oförytterliga rättigheten att gå till domstol och få saken der pröfvad. Det fins sålunda härigenom en möjlighet öppnad för vederbörande att om de så önska få saken pröfvad af domstol. Det är, för att sammanfatta</w:t>
        <w:br/>
        <w:br/>
        <w:t>hvad jag nu anfört, just i föräldrarättens eget intresse, som utskottet föreslagit en sådan pröfning, som i 8, 9 och 10 $$ omförmäles.</w:t>
        <w:br/>
        <w:br/>
        <w:t>Jag skall på grund häraf anhålla att få yrka bifall till den föredragna 8.</w:t>
      </w:r>
    </w:p>
    <w:p>
      <w:pPr>
        <w:pStyle w:val="Heading2"/>
      </w:pPr>
      <w:r>
        <w:t>2. Anders Olsson (–, man)</w:t>
      </w:r>
    </w:p>
    <w:p>
      <w:r>
        <w:rPr>
          <w:b w:val="0"/>
        </w:rPr>
        <w:t>Herr talman, mine herrar! Såsom af utskottets betänkande framgår, har jag afgifvit en reservation, i hvilken jag uttalat en i en viss punkt från utskottets majoritet afvikande mening. Jag skall nu endast be att få säga, att, då Första Kammaren redan fattat sitt beslut och jag på inga vilkor vill ställa till så, att hela lagen till äfventyrs skulle riskera att falla, jag icke kommer att göra något yrkande på bifall till denna min reservation. Men min betänklighet tager jag nog med mig hem. Jag skall emellertid be att få uttala mitt beklagande öfver att jag icke kunnat på ett tillfredsställande sätt besvara alla frågor, som ärade ledamöter af kammaren stält till mig med anledning af min reservation. Bland annat är det”den frågan, hvarifrån i de fall, då barnavårdsnämnden fått ikläda sig kostnad, som den icke eger att utkräfva af fattigvårdssamhälle, nämnden skall taga dessa medel. Ja, det står icke ett ord derom i lagen, men med hänvisning till Kongl. Maj:ts motivering ber jag herrarne se efter, huru Kongl. Maj:t tänkt sig den saken. Så vidt jag kan finna, måste barnavårdsnämnden eller skolstyrelsen, när denna har samma befattning, vända sig till kyrkostämman för att få resterande medel, emedan de anses utgå såsom kostnad för barnens skolundervisning.</w:t>
        <w:br/>
        <w:br/>
        <w:t>Herr talman, jag har, som sagdt, icke något yrkande att göra.</w:t>
      </w:r>
    </w:p>
    <w:p>
      <w:pPr>
        <w:pStyle w:val="Heading2"/>
      </w:pPr>
      <w:r>
        <w:t>3. Knut Henning Gezelius von Scheele (–, man)</w:t>
      </w:r>
    </w:p>
    <w:p>
      <w:r>
        <w:rPr>
          <w:b w:val="0"/>
        </w:rPr>
        <w:t>Herr talman! Den fara, som redan vid behandlingen af 8 2 antyddes vara förbunden med barnavårdsnämndens nominella åtskiljande från skolrådet der, hvarest de äro faktiskt förenade i en och samma myndighet, gör sig i förhöjd grad gällande, der de utgöra två skilda myndigheter. Olägenheten vore väl här i $ 27 i någon mån aflägsnad, om man finge läsa särskild barnavårdsnämnd, ty dermed vore då sagdt, att allenast en viss del af den skolrådet tillkommande barnavården blifvit öfverlemnad åt den särskilda nämnden. Men detta låter sig naturligtvis icke göra, i synnerhet då denna paragraf, såsom sig bör, ställes samman med den först anförda paragrafen.</w:t>
        <w:br/>
        <w:br/>
        <w:t xml:space="preserve">Den analogi, vi fingo vid $ 2 höra från statsrådsbänken anföras till försvar för den der inträdande terminologien, belyser fastmer det af mig befarade förhållandet. Så länge fattigvårdsstyrelsen icke är från kommunalstyrelsen i verkligheten åtskild, gör ej heller menige man mellan dem någon åtskilnad i begreppet; men sedan äro de ock både till realiteten och i allmänna föreställningssättet fullständigt åtskilda. Till och med kyrkan har haft svårt att i folkets föreställning behålla qvar sin rätt och pligt att vårda sig om de fattiga, sedan </w:t>
      </w:r>
      <w:r>
        <w:rPr>
          <w:b/>
        </w:rPr>
        <w:t>hon²</w:t>
      </w:r>
      <w:r>
        <w:rPr>
          <w:b w:val="0"/>
        </w:rPr>
        <w:t xml:space="preserve"> icke längre kunde bibehålla fattigvården i dess helhet. Hafva nu vederbörande med dessa erfarenheter för ögonen besinnat faran af att, efter att ha medgifvit afsöndrandet från skolstyrelsen af en del, och det en jemförelsevis väl underordnad del, af dess barnavårdande uppgift, benämna den nämnd, som har sig denna underordnade del anförtrodd, rätt och slätt barnavårdsnämnden? Skall det icke föra med sig den i sanning mycket närliggande föreställningen, att all barnavård utom hemmet tillhör denna nämnd? Ja, kanske snart nog icke blott allmänheten, utan jemväl skolrådet sjelft kommer att i sådana fall anse barnavården i allo ligga utanför dess verksamhetsområde. Och hvad skulle dock i högre grad strida mot den vigtigaste och jag kan tillägga af vår tid mest fulltonigt erkända pedagogiska princip: folkskolans fostrande uppgift, det oupplösliga samband, som bör allt ifrån barndomsoch ungdomsåren råda mellan lära och lif!</w:t>
        <w:br/>
        <w:br/>
        <w:t>Häremot torde invändas, att folkskolestadgans föreskrifter icke rubbas genom denna lag. Den, som så tänker och talar, lägger i dagen, huru föga han känner det verkliga lifvet och ordets der rådande makt öfver tanken. Se här ett upplysande exempel! Kyrkorådet har äfven en dubbel uppgift, som afser å ena sidan ekonomiska förhållanden och å andra sidan ideella, hvilka senare det i icke ringa mån, ja, i främsta rummet obestridligt åligger detta råd att vårda. Nu har det emellertid, som vi litet hvar veta, gått så, att kyrkorådsinstitutionen väsentligen kommit att blifva en nästan uteslutande ekonomisk institution. Detta föranledde vid kyrkomötet 1893 en af</w:t>
        <w:br/>
        <w:br/>
        <w:t>dess äldste och mest erfarne medlemmar att föreslå, att man skulle åtskilja de två olika slag af uppgifter, som inom kyrkorådet förekomma, och å ena sidan bilda ett församlingsråd för den ideella uppgiften och å andra sidan låta det ekonomiska fortfarande hvila på kyrkorådet, sålunda omorganiseradt. Förslaget rönte emellertid mycket motstånd och föll. Detsamma, som i detta förslag öppet framträdde, fruktar jag skall komma att på mer förstulen väg ske, hvar helst särskild barnavårdsnämnd kommer till stånd. Och det kan bli fallet på långt flera håll, än någon nu föreställer sig, törhända just derför, att man hoppas kunna på sådant sätt alldeles frigöra skolrådet från den svåraste delen af dess uppgift, nemligen barnens fostran, och sålunda skolrådsledamöterna kunna väljas utan tvekan blott med hänsyn till sådant, som är af ekonomisk och väl tillika af organisatorisk art.</w:t>
        <w:br/>
        <w:br/>
        <w:t>Denna fara ligger så mycket närmare, som man underordnat barnavårdsnämnden under Konungens befallningshafvande i stället för, såsom Kongl. Maj:t föreslagit, under domkapitlet. Förordningen om kyrkostämma samt kyrkoråd och skolråd den 21 mars 1862 lemnar i $ 41 föreskrift om, hvilka kyrkostämmomål, som skola i händelse af besvär gå till det domkapitel, hvarunder kyrkoförsamlingen hör, och hvilka som skola gå till Konungens befallningshafvande i länet, i öfverensstämmelse hvarmed äfven besvär öfver skolråds beslut handläggas. Deraf framgår, att man hittills ansett alla sådana besvärsmål af mer eller mindre ideel innebörd falla under domkapitlets domvärjo, de rent ekonomiska deremot under Konungens befallningshafvandes, de slutligen, som äro af blandad natur, under begge dessa myndigheters gemensamma pröfning och afgörande. Väl inser jag skälen för den af utskottet föreslagna bestämmelsen i förevarande afseende. Det kan icke nekas vara lämpligt, att samma högre myndighet, som i alla händelser har att förfoga öfver de yttre maktmedlen för ett visst besluts verkställighet, jemväl blir den i sak beslutande. Men detta hindrar icke, att den af mig påvisade faran härigenom ökas.</w:t>
        <w:br/>
        <w:br/>
        <w:t>Utan att vilja göra något yrkande, har jag, herr talman, ansett nödigt att fästa uppmärksamheten härå. Dermed har jag åsyftat å ena sidan en vördsam vädjan till Kongl. Maj:ts vishet vid lagens slutbehandling och promulgation, å den andra har mitt syfte varit, att i hvarje fall ett uttalande måtte inom Riksdagen i den angifna rigtningen ske, på det att en hvar må kunna finna, hvad åtminstone meningen i förevarande afseende varit, trots den missledande terminologien.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915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