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913</w:t>
      </w:r>
    </w:p>
    <w:p>
      <w:r>
        <w:rPr>
          <w:b/>
        </w:rPr>
        <w:t xml:space="preserve">Datum: </w:t>
      </w:r>
      <w:r>
        <w:t>1902-04-19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Lars Johan Jansson (Lantmanna- och borgarepartiet inom andrakammaren, man)</w:t>
      </w:r>
    </w:p>
    <w:p>
      <w:r>
        <w:rPr>
          <w:b w:val="0"/>
        </w:rPr>
        <w:t xml:space="preserve">Som herrarne torde finna, har jag haft en afvikande mening i utskottet beträffande bestämmelsen i denna 8 $&amp; Och det har hufvudsakligen gält sådana fall, der någon ljutit döden. Jag har nemligen för min del ansett, att stadgandet i strafflagens 6 kap. 4 8 icke kan vara lämpligt, när det gäller sådana olycksfall, som här äro i fråga, eller sådana fall, der den aflidne har tillfogats skada och ljutit döden i följd af elektrisk starkströmsledning. Stadgandet i strafflagen innebär för öfrigt den bestämmelsen, att om den aflidne har efterlemnat </w:t>
      </w:r>
      <w:r>
        <w:rPr>
          <w:b/>
        </w:rPr>
        <w:t>maka³</w:t>
      </w:r>
      <w:r>
        <w:rPr>
          <w:b w:val="0"/>
        </w:rPr>
        <w:t xml:space="preserve"> och barn i fattiga och utblottade omständigheter, få de visserligen så pass ersättning, som de nödtorftligen kunna behöfva. Men är det deremot fråga om, att den aflidnes bo befinner sig i någorlunda goda förhållanden, så att de efterlefvande</w:t>
        <w:br/>
        <w:br/>
        <w:t xml:space="preserve">icke kunna anses stå alldeles på bar backe, då tillerkännas de egent- Ang. vissa ligen ingen ersättning, intet understöd på grund af bestämmelsen 1 bestämmelser strafflagen. Om, olestriska Oase n s as us rv (Anläggningar. Detta förhållande är det, som jag ansett olämpligt, när det gäller (Forts) skadeersättning, som uppkommit i följd af olyckor vid starkströmsledningar. Förhållandena i dylika fall böra enligt min mening alldeles icke jemföras med förhållandena i fråga om skadestånd, då någon t. ex. mördat eller dräpt en annan. Då får ju gerningsmannen först och främst ett särskildt straff, och ersättningsfrågan kommer först i andra hand. Här föreligger ju icke någon brottslig handling, utan endast en ersättningsfråga för en olycka, som inträffat under industriel verksamhet utan någondera partens vållande på annat sätt, än att i följd af en starkströmsledning någon person kunnat ljuta döden. Jag för min del anser, att skadeersättningen i sådana fall borde bestämmas med hänsyn till den aflidne familjeförsörjarens sociala ställning, så att de efterlefvande borde erhålla ersättning icke endast i de fall, då de befinna sig i fattiga omständigheter, utan äfven om ställningen efter den aflidne familjeförsörjaren är bättre. Det tyckes också, som om denna min uppfattning skulle delas såväl på vissa håll inom Riksdagen som af Kongl. Maj:t. Ty se vi på Kongl. Maj:ts propositioner n:is 78 och 79, som vi nyss mottagit, så har Kongl. Maj:t såsom understöd åt aflidne kapten Grahms </w:t>
      </w:r>
      <w:r>
        <w:rPr>
          <w:b/>
        </w:rPr>
        <w:t>dotter²</w:t>
      </w:r>
      <w:r>
        <w:rPr>
          <w:b w:val="0"/>
        </w:rPr>
        <w:t xml:space="preserve"> begärt ett belopp af 800 kronor för år, men åtskilliga riksdagsmän inom Första Kammaren hafva föreslagit beloppets höjning till 1,200 kronor för år, och dock var, såvidt jag kan erinra mig, ställningen efter kapten Grahm icke sämre, än att i hans bo fans en behållning af 7- a 8,000 kronor. Härmed vill jag nu alldeles icke hafva sagdt, att detta var något förmöget bo, men det var ju icke heller alldeles utfattigt. Vidare föreslås i den andra kongl. propositionen understöd åt ingeniören Silfversparres enka och barn med flere enkor och barn efter personer, som föllo offer för olyckan vid Bofors, och äfven här föreslås åt såväl enkorna som barnen rätt betydliga belopp i förhållande till deras samhällsställning. Man har sålunda här icke inskränkt sig till det belopp, som dessa kunde få enligt bestämmelserna i strafflagen eller ifrån kassor och enskilda fonder, utan från det allmännas synpunkt har Kongl, Maj:t funnit lämpligt föreslå Riksdagen beviljandet af mera lämpliga och rikliga belopp. Det är samma uppfattning jag i detta fall hyst och som jag här velat framlägga. Kammaren må sedan vid densamma fästa det afseende kammaren vill, men för min del har jag velat påpeka denna synpunkt i sammanhang med förslaget om lagstiftning i ersättningsfrågan. Det gäller ju här i alla fall en speciallag, och då tycker jag, att man just för denna lag också kunde få en särskild ersättningsgrund. Herr talman! Jag anhåller om bifall till min reservation.</w:t>
      </w:r>
    </w:p>
    <w:p>
      <w:pPr>
        <w:pStyle w:val="Heading2"/>
      </w:pPr>
      <w:r>
        <w:t>2. Theodor af Callerholm (Liberala samlingspartiet, man)</w:t>
      </w:r>
    </w:p>
    <w:p>
      <w:r>
        <w:rPr>
          <w:b w:val="0"/>
        </w:rPr>
        <w:t>Af de öfverläggningar i den fråga, som den siste ärade talaren bragt på tal, hvilka, innan hans reservation afgafs, förekommit mellan honom och mig, känner han till fyllest, att jag mycket väl behjertar de synpunkter, som han nu velat lägga kammaren på hjertat, men jag har på samma gång betonat de ofantliga svårigheterna att inom utskottet åstadkomma cn tillfredsställande</w:t>
        <w:br/>
        <w:br/>
        <w:t>formulering af en lagbestämmelse i det syfte, som han har ansett önskligt. För min del har jag kommit under fund med, att en sådan uppgift, långt ifrån att kunna anförtros såsom en bisak åt ett särskildt utskott, skulle utgöra tillräcklig sysselsättning för en af skickliga jurister bestående lagberedning kanske under månadtal, och för öfrigt har man ansett lämpligt, att samma bestämmelser, som gälla i öfrigt i landet, äfven borde tillämpas här, allra helst som dessa bestämmelser ansetts kunna tillämpas i en annan speciallag, nemligen lagen om ansvarighet för skada till följd af jernvägs drift af år 1886, och jag tror, att man med skäl kan säga, beträffande tillämpningen af denna lag, att den af domstolarne tillämpats så liberalt, som gerna varit möjligt och från de af skada drabbade personernas synpunkt kunnat vara att önska.</w:t>
        <w:br/>
        <w:br/>
        <w:t>På grund af de synpunkter jag nu framhållit anhåller jag, med all sympati för den siste ärade talarens förslag, att utskottets hemställan måtte i denna punkt bifallas.</w:t>
      </w:r>
    </w:p>
    <w:p>
      <w:pPr>
        <w:pStyle w:val="Heading2"/>
      </w:pPr>
      <w:r>
        <w:t>3. Daniel Persson (Liberala samlingspartiet, man)</w:t>
      </w:r>
    </w:p>
    <w:p>
      <w:r>
        <w:rPr>
          <w:b w:val="0"/>
        </w:rPr>
        <w:t>Det är ett mycket vigtigt förhållande, som herr Jansson framhållit såväl i sin reservation som också i det af honom nyss hållna anförandet, och jag ber att till alla delar få instämma med honom såväl i hvad han yttrade som också i det yrkande han framstälde. Jag ber emellertid att derjemte få nämna en omständighet, som han förbigick och som jag anser göra det olämpligt, att man 1 detta fall för ersättningens utgående hänvisar till de i strafflagen stadgade grunder. I 6 kap. 4 8 strafflagen stadgas: &gt;»komma make eller barn efter den, som dödad blifvit, att genom hans frånfälle sakna nödigt underhåll; då skall dem, efter ty, med afseende å såväl den brottsliges tillgångar som andra omständigheter, skäligt pröfvas, tilläggas hvad för makan eller barnen tarfvas, till dess de sig eljest försörja kunna» 0. s. v.</w:t>
        <w:br/>
        <w:br/>
        <w:t xml:space="preserve">Här talas följaktligen endast om den, som är fader eller om den, som har </w:t>
      </w:r>
      <w:r>
        <w:rPr>
          <w:b/>
        </w:rPr>
        <w:t>hustru²</w:t>
      </w:r>
      <w:r>
        <w:rPr>
          <w:b w:val="0"/>
        </w:rPr>
        <w:t>; men, mina herrar, vi få äfven tänka oss ett annat fall.</w:t>
        <w:br/>
        <w:br/>
        <w:t>Det kan nemligen mycket väl inträffa — och det inträffar mycket ofta — att det är en son i huset, som har gamla föräldrar, som han</w:t>
        <w:br/>
        <w:br/>
        <w:t>ensam måste försörja. Om nu denne ljuter döden genom olyckshändelse, så få, såväl enligt lagen angående ansvarighet för skada i följd af Jernvägs drift som enligt bestämmelserna i denna lag rörande elektriska starkströmsanläggningar, dessa föräldrar ingen ersättning alls. Den tolkning, som jag har gifvit detta lagrum, tror jag vara fullkomligt rigtig, och det var just med anledning af lagen den 12 mars 1886 angående ansvarighet för skada i följd af jernvägs drift, som jag, såsom herrarne minnas, förliden riksdag väckte motion om ändring i dessa bestämmelser och föreslog, att 4 $i6 kap. strafflagen skulle få följande ändrade lydelse: »Var den, som dödad blifvit, familjeförsörjare, då skall den brottslige, eller den, som till dödsfallet varit vållande, till familjen utgifva skadestånd» etc. Med anledning af denna min motion föreslog lagutskottet, att Riksdagen ville i skrifvelse till Kongl. Maj:t anhålla, det täcktes Kongl. Maj:t taga i öfvervägande, huruvida och 1 hvad mån utvidgning af den i 6 kap. 4 $ strafflagen stadgade skadeståndspligten lämpligen må kunna ega rum, samt för Riksdagen framlägga det förslag</w:t>
        <w:br/>
        <w:br/>
        <w:t>till ändring af ifrågavarande paragraf, hvartill förhållandena kunna gifva Ang. vissa anledning. Jag ber att få erinra, att denna kammare utan diskussion ”estämmelser biföll detta lagutskottets förslag, fastän frågan föll i Första Kammaren.miä,p ningar. Denna kammare har sålunda 1 denna fråga uttalat sina sympatier för (Forts) | och sin önskan, att en lagstiftning i nämnda rigtning måtte komma | till stånd, och att skadeståndspligten följaktligen måtte bestämmas efter andra grunder än de, som finnas i strafflagens sjette kapitel.</w:t>
        <w:br/>
        <w:br/>
        <w:t>Nu finner jag väl af utskottets motivering, att det särskilda utskottet stält sig mycket sympatiskt gent emot det förslag, som herr Jansson framstält, och att det hyser lifliga sympatier för detta förslag, men jag undrar ändå i alla fall, om den familj, som råkat ut för en dylik olycka, kan födas på det särskilda utskottets sympatier för detta förslag. Det är icke nog med det, utan jag anser det vara af största vigt, att det vidtages sådana åtgärder i lagstiftningsväg, att en sådan familj måtte få någon ersättning. Det är ju så vanligt, att man beklagar, om en menniska kommit i olycka, men det är icke lämpligt, att en lagstiftande församling endast uttalar sina sympatier och sin medömkan. Oss tillkommer att stifta sådana lagar, att man må kunna få någon ersättning.</w:t>
        <w:br/>
        <w:br/>
        <w:t>Jag ber, herr talman, att få biträda det af herr Jansson framstälda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