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w:t>
      </w:r>
    </w:p>
    <w:p>
      <w:r>
        <w:rPr>
          <w:b/>
        </w:rPr>
        <w:t xml:space="preserve">Datum: </w:t>
      </w:r>
      <w:r>
        <w:t>1902-05-09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Benedicks (Första kammarens protektionistiska parti, man)</w:t>
      </w:r>
    </w:p>
    <w:p>
      <w:r>
        <w:rPr>
          <w:b w:val="0"/>
        </w:rPr>
        <w:t>Denna paragraf lider enligt min tanke af två fel. Den lyder sålunda: »Denna lag afser barn, som mot ersättning fostras hos andra än sina föräldrar, stjufföräldrar, fareller morföräldrar eller laga förmyndare och icke fylt sju år.»</w:t>
        <w:br/>
        <w:br/>
        <w:t>För det första lider den af ett formelt fel så till vida att der står »barn, som mot ersättning fostras». Genom denna affattning är det alldeles tydligt, att man skapar en invändning hos en fostrare, som kommunalnämnden vill särskildt taga barnet ifrån.</w:t>
        <w:br/>
        <w:br/>
        <w:t>Det andra felet är, att här medtagits kategorien fareller morföräldrar, hvilka i många fall äro särdeles litet lämpliga att vara fosterföräldrar; särskildt morföräldrarna hafva ju ofta in-</w:t>
        <w:br/>
        <w:br/>
        <w:t xml:space="preserve">tresse af att låta ett barn af en ogift </w:t>
      </w:r>
      <w:r>
        <w:rPr>
          <w:b/>
        </w:rPr>
        <w:t>moder²</w:t>
      </w:r>
      <w:r>
        <w:rPr>
          <w:b w:val="0"/>
        </w:rPr>
        <w:t xml:space="preserve"> försvinna för att icke utgöra det lefvande beviset på </w:t>
      </w:r>
      <w:r>
        <w:rPr>
          <w:b/>
        </w:rPr>
        <w:t>dotterns²</w:t>
      </w:r>
      <w:r>
        <w:rPr>
          <w:b w:val="0"/>
        </w:rPr>
        <w:t xml:space="preserve"> felsteg. Det är derför jag tagit mig friheten föreslå ungefär följande lydelse af detta stadgande: » Alla fosterbarn intill sju års ålder äro underkastade den offentliga tillsyn, som denna lag föreskrifver. Derest omständigheterna dertill föranleda, kan sådan tillsyn jemväl utsträckas till barn, upptagna såsom egna, och till adoptivbarn, som adopterats mot betalning.</w:t>
        <w:br/>
        <w:br/>
        <w:t>Från skyldighet att underkasta sig dylik tillsyn kunna fosterföräldrar fritagas, om hänsyn till förvärf befunnits ligga utom bevekelsegrunden för upptagande af fosterbarn». Der vid lag har äfven en annan punkt vidrörts, som brister i lagen, och det är, att densamma lägger blott hos Kongl. Maj:t makt att fritaga från sådan tillsyn som här är fråga om.</w:t>
        <w:br/>
        <w:br/>
        <w:t>Då det nu emellertid är i riksdagens elfte timme och jag icke på något sätt skulle vilja, att denna lag icke blefve antagen, underlåter jag att göra något yrkande, hvilket jag annars otvifvelaktigt skulle hafva gjort.</w:t>
      </w:r>
    </w:p>
    <w:p>
      <w:pPr>
        <w:pStyle w:val="Heading2"/>
      </w:pPr>
      <w:r>
        <w:t>2. Cornelius Sjöcrona (Första kammarens protektionistiska parti, man)</w:t>
      </w:r>
    </w:p>
    <w:p>
      <w:r>
        <w:rPr>
          <w:b w:val="0"/>
        </w:rPr>
        <w:t>Min värderade vän och utskottskamrat slutade visserligen med att icke göra något yrkande, men då hvad han såväl här muntligen som i reservationen anfört, utan tvifvel är mycket beaktansvärdt, anser jag det vara min skyldighet att belysa utskottets uppfattning i hvad densamma afviker från reservantens.</w:t>
        <w:br/>
        <w:br/>
        <w:t>Alla äro vi nog med reservanten ense derom, att en lagstiftning sådan som denna bör göras så verksam som möjligt för att förekomma det onda, som man vill bekämpa. Men vi äro nog alla äfven ense derom, att då man gifver sig in på en sådan lagstiftning i ett nytt ämne, man måste framgå med en viss försigtighet.</w:t>
        <w:br/>
        <w:br/>
        <w:t>Detta lagförslag är till sitt syfte helt och hållet preventivt och åsyftar att, så vidt möjligt, förekomma, att barnen lemnas och få qvarblifva hos olämpliga fostrare och på olämpliga ställen, äfvensom att sätta myndigheterna i tillfälle att öfvervaka barnens vård. Man bör emellertid dervid noga akta sig för att intränga på områden för obestridliga rättigheter och oeftergifliga pligter, hvilka bero af familjebandet eller af andra genom moralens och samhällets lagar dermed likstälda förhållanden. Man bör ock noga taga hänsyn till grannlagenhetens anspråk på frihet från myndigheternas inblandning i privata angelägenheter.</w:t>
        <w:br/>
        <w:br/>
        <w:t>I Danmark har man löst detta mycket svåra spörsmål på det sätt, att man föreskrifvit ovilkorlig skyldighet för alla, som vilja taga emot barn till uppfostran, att först begära tillstånd dertill. Man har dervid utan tvifvel varit icke så litet påverkad af de ytterligt upprörande tilldragelser i Köpenhamn, hvarom vi läst skildringar i våra tidningar. Det faller af sig sjelft, när man går så långt, att man fordrar tillstånd för hvar och en, som äfven</w:t>
        <w:br/>
        <w:br/>
        <w:t>utan ersättning vill upptaga ett barn, att man också måste medgifva betydande undantag; och det gör också den danska lagen. Den tillåter vederbörande kommunala myndigheter att bevilja undantag och detta i mycket vidsträckt mån. Nu föreliggande lagförslag hvilar återigen på den principen, att man i lagen skall intaga de fall af fosterbarnsvård, beträffande hvilka man har anledning befara vanvård, men låta de andra vara fria från lagens tillämpning.</w:t>
        <w:br/>
        <w:br/>
        <w:t xml:space="preserve">Hvad nu först angår det i första paragrafen stadgade undantaget genom insättandet af orden: »emot ersättning», så tillåter jag mig först fästa kammarens uppmärksamhet derpå, att vi i vårt land icke hafva någon lag angående adoptering af barn. Skulle således orden »emot ersättning» strykas och lagen komma att gälla för alla, alltså äfven för sådana, som taga emot barn utan ersättning, så skulle denna lag komma att tillämpas på alla välbergade makar, som kunna vilja taga upp ett barn såsom sitt eget. Jag tror icke, att man i vårt land vill hafva en sådan lastiftning. Jag tror ännu mindre, att man skulle vilja hatva en lagstiftning, enligt hvilken exempelvis numera aflidna Emanuela Carlbeck skulle varit vid bötesäfventyr underkastad skyldighet att göra anmälan samt iakttaga hvarjehanda förpligtelser, då </w:t>
      </w:r>
      <w:r>
        <w:rPr>
          <w:b/>
        </w:rPr>
        <w:t>hon²</w:t>
      </w:r>
      <w:r>
        <w:rPr>
          <w:b w:val="0"/>
        </w:rPr>
        <w:t xml:space="preserve"> första gången till fostran och vård på egen bekostnad upptog ett andesvagt barn och, såsom det så vackert blifvit sagdt om </w:t>
      </w:r>
      <w:r>
        <w:rPr>
          <w:b/>
        </w:rPr>
        <w:t>henne²</w:t>
      </w:r>
      <w:r>
        <w:rPr>
          <w:b w:val="0"/>
        </w:rPr>
        <w:t xml:space="preserve">, började att hos detta barn söka »reda den frusna jordmånen». Det är för eder alla, mina herrar, väl bekant, att </w:t>
      </w:r>
      <w:r>
        <w:rPr>
          <w:b/>
        </w:rPr>
        <w:t>hon²</w:t>
      </w:r>
      <w:r>
        <w:rPr>
          <w:b w:val="0"/>
        </w:rPr>
        <w:t xml:space="preserve"> genom denna början och sin sedan med synnerligt nit fullföljda verksamhet banat vägen för bildandet af de i menniskokärlekens tjenst verkande asyler, uppfostringsanstalter och arbetshem för sinnesslöa, hvilka vi nu hafva i vårt land.</w:t>
        <w:br/>
        <w:br/>
        <w:t>Jag tror icke, såsom jag redan sagt, att man nu bör taga steget fullt ut så långt, att man genom restriktiva bestämmelser lägger hinder och svårigheter i vägen för en sådan menniskovänlig verksamhet. Jag tror således, att det är alldeles nödvändigt, att lagen tillämpas endast när uppfostran sker emot ersättning.</w:t>
        <w:br/>
        <w:br/>
        <w:t xml:space="preserve">Hvad vidare angår undantagen för faroch morföräldrar, kunna vi väl vara temligen eniga derom, att man, såvida det gäller barnbarn af äkta säng, icke torde behöfva befara, att faroch morföräldrar skola vanvårda sina barnbarn. Man skulle kanske snarare kunna befara, att de skulle blifva allt för svaga för sådana barnbarn; åtminstone har jag den känslan, jag som har den lyckan att vara morfar. Annorlunda kan det ju ställa sig, när barnen äro oäkta, men äfven dervidlag gör väl blodsbandet sig gällande, och i synnerhet om dessa faroch morföräldrar få åtnjuta ersättning för barnens vård, tror jag, att man i allmänhet icke har något att befara. Åtnjuta de deremot icke ersättning, kan den stackars </w:t>
      </w:r>
      <w:r>
        <w:rPr>
          <w:b/>
        </w:rPr>
        <w:t>dottern²</w:t>
      </w:r>
      <w:r>
        <w:rPr>
          <w:b w:val="0"/>
        </w:rPr>
        <w:t xml:space="preserve"> icke betala någonting, ja, då kunna möjligen farorna vara större, men då äro ju faroch morföräldrar i</w:t>
        <w:br/>
        <w:br/>
        <w:t>alla händelser undantagna från lagens bestämmelser, eftersom fostran sker utan ersättning.</w:t>
        <w:br/>
        <w:br/>
        <w:t>Emot undantaget för förmyndare lärer väl icke kunna göras någon anroärkning, ty förmyndare förordnas ju af vederbörande domstol, och då lärer man väl icke behöfva befara, att myndlingen skall blifva vanvårdad.</w:t>
        <w:br/>
        <w:br/>
        <w:t>På grund af hvad jag nu anfört, håller jag före, att man i afseende å den nu ifrågasatta nya lagstiftningen bör erinra sig det gamla ordspråket, att det bästa kan vara fiende till det goda.</w:t>
        <w:br/>
        <w:br/>
        <w:t>Vill man gå allt för långt, kan det hända, att man icke når det goda, som man åsyftar.</w:t>
        <w:br/>
        <w:br/>
        <w:t>Det är på denna grund jag tillåter mig uppmana kammaren att biträda det yrkande, som jag nu anhåller att få framställa, nemligen om bifall till den föredragna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