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36</w:t>
      </w:r>
    </w:p>
    <w:p>
      <w:r>
        <w:rPr>
          <w:b/>
        </w:rPr>
        <w:t xml:space="preserve">Datum: </w:t>
      </w:r>
      <w:r>
        <w:t>1904-03-16</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Adolf von Möller (Första kammarens protektionistiska parti, man)</w:t>
      </w:r>
    </w:p>
    <w:p>
      <w:r>
        <w:rPr>
          <w:b w:val="0"/>
        </w:rPr>
        <w:t xml:space="preserve">Jag kan icke neka till att det är med en viss tveksamhet jag uppträder efter den föregående talaren. Han framställde ju oss — de två föregående talarne och mig — såsom de der låtit »förståndet löpa bort med känslorna». Men själf slog han sig till riddare för förståndet. För hans egen skull vill jag, som känslomänniska, icke skära med dissekerknif i dessa hans förstånds alster. Jag tror dylik dissektion obehöflig, åtminstone för dem, som åhörde hans föredrag. Han trodde sig nämligen hafva funnit de vises sten, som skulle bringa oss lyckan och helt och hållet befria oss från all fattigvård! Det var helt enkelt; vi skulle blott söka förekomma att få några fattigal Ja, mina herrar, jag, såsom en känslomänniska, önskar naturligtvis det också, men jag skulle varit den ärade talaren tacksam, om han velat gå litet mera in i detalj och visa oss, huru det skall gå till, ty då behöfde vi förvisso icke någon fattigvårdslagstiftning. Jag erinrar mig historien om en viss hög </w:t>
      </w:r>
      <w:r>
        <w:rPr>
          <w:b/>
        </w:rPr>
        <w:t>dam²</w:t>
      </w:r>
      <w:r>
        <w:rPr>
          <w:b w:val="0"/>
        </w:rPr>
        <w:t>, som, då det en gång var hungersnöd uppe i Lappland, sade: »hvarför ger man icke de stackars människorna mjölk och skorpor»? Den ärade talarens resonemang påminde allt bra mycket om denna höga dams praktiska förslag.</w:t>
        <w:br/>
        <w:br/>
        <w:t>Jag är lagutskottets ärade ordförande tacksam, att han kastade bort masken och lät oss få veta, hvad utskottets verkliga skäl för afslag varit, nämligen, att det nog icke är så illa beställdt med fattigvården här i landet. Ja, det tror jag icke, att jag behöfver bemöta. Jag hänvisade blott på hvad jag nyss anfört och de missförhållanden jag redan framdragit. — Jag tror att herrarne skola erkänna, att vi, jag och mina meningsfränder, hafva rätt i denna punkt och icke lagutskottets ordförande. Jag tror, att dessa skildringar gälla i flera fall än han tycks vilja antaga.</w:t>
        <w:br/>
        <w:br/>
        <w:t>Vidare sade han, att i regeln klaga icke de fattiga. Det är de beskedliga fattiga — jag upprepar det — de gamla, de mest förtjänta, som icke klaga; men de bråkiga, de klaga och ställa till ledsamheter, och de lyckas kanske äfven någon gång att finna en hjälpsam hand, som upprättar en klagoskrift till Konungens befallningshafvande. Ty de fattiga kunna ju vanligen icke själfva göra detta och lyckligt lotsa sig fram mellan formalismens skär för att kunna</w:t>
        <w:br/>
        <w:br/>
        <w:t>vinna framgång hos Konungens befallningshafvande, och de behöfva Ifrågasatt</w:t>
        <w:br/>
        <w:br/>
        <w:t>naturligtvis någon som hjälper dem att framlämna skrifvelsen till öfver de</w:t>
        <w:br/>
        <w:br/>
        <w:t>vederbörande. Kommunala Den ärade utskottsordföranden sade vidare, att kommunerna visst fattigvården</w:t>
        <w:br/>
        <w:br/>
        <w:t>icke äro hågade att ställa sig under kontroll. Det har ej heller jag m.m. trott, men detta är väl ett ytterligare skäl för att verksam kontroll (Forts.) införes. Det finnes också en annan auktoritet, som jag här vågar åberopa, han som sade: »jag var hungrig», jag var törstig, naken, sjuk», och hvem den mannen var, veta vi alle.</w:t>
        <w:br/>
        <w:br/>
        <w:t>Den talare, som efter mig hade ordet, ansåg, att regeringen nog skulle taga saken om hand. Ja, men på hvad sätt skall regeringen få veta Riksdagens önskningar, utan att Riksdagen säger ifrån. Icke kunna väl herrarne tro, att denna diskussion, hvaruti några få ledamöter af Riksdagen deltaga, skall utöfva en så kraftig påtryckning på regeringen som en riksdagsskrifvelse, att den vill komma fram med ett lagförslag. Det är icke mer än några år sedan man i en annan fråga fick höra från statsrådsbänken, »det har Riksdagen aldrig begärt». Skulle man nu genom ett afslag på alltsammans gifva till känna, att Riksdagen önskar en ändring i motionens riktning — nog är detta åtminstone ett bra negativt sätt att gå till väga, i synnerhet när vi hafva den utvägen att genom ett bifall till mitt förslag säga ifrån till regeringen, att vi önska en kungl. proposition i ämnet; ty en enskild riksdagsman, lagutskottet, ja, Riksdagen själf kan icke åstadkomma en sådan utredning som Kungl. Maj:t kan. Det måste finnas en inspektion med aflönade ledamöter; man kommer icke från saken på annat sätt. Jag kan icke 1 detalj angifva, huru denna inspektion skall anordnas; men Kungl. Maj:t torde, med de centrala myndigheternas tillhjälp, nog kunna finna, hur denna lämpligast bör ordnas.</w:t>
        <w:br/>
        <w:br/>
        <w:t>Jag vädjar till de herrar, som stå i spetsen för länsstyrelserna, jag vädjar till prästerna: hafva vi icke rätt uti, att det på många orter i landet är ganska illa beställdt med fattigvården och att det med nuvarande system är omöjligt att få saken afhjälpt.</w:t>
        <w:br/>
        <w:br/>
        <w:t>Jag tvingas att vidhålla mitt yrkande om bifall till mitt förelag.</w:t>
      </w:r>
    </w:p>
    <w:p>
      <w:pPr>
        <w:pStyle w:val="Heading2"/>
      </w:pPr>
      <w:r>
        <w:t>2. Hjalmar Palmstierna (Nya lantmannapartiet, man)</w:t>
      </w:r>
    </w:p>
    <w:p>
      <w:r>
        <w:rPr>
          <w:b w:val="0"/>
        </w:rPr>
        <w:t>Jag skall icke framställa något yrkande, men då det är så många, som yttrat sig i frågan och belyst den ena sidan däraf, har jag ansett, att man äfven borde säga några ord till belysning af den andra sidan. Här har talats så mycket om statskontroll, som skulle öfvas å fattigvården. Man har dock många gånger sagt, att man i allmänhet icke skall kontrollera så mycket från statens sida, utan låta de enskilde sköta sig själfva. Och hur skulle kontrollen försiggå? Det har visst antydts, att den skulle utöfvas genom särskilda inspektörer. Skulle det sedan tillämpas normalstater också, blefve det för kommunerna ganska betydande kostnader. Och här ifrågakommande förhållanden äro så ofantligt olika på olika ställen inom landet. Jag representerar ett fattigt län, och där måste ju dessa förhållanden ställa sig annorlunda än i de rikare linen. Det har sagts, att det är förenadt med svårigheter för de fattiga att anföra klagomål. Det är svårigheter, som jag får säga, att jag icke kunnat märka. I Jönköpings län förekomma sådana</w:t>
        <w:br/>
        <w:br/>
        <w:t>klagomål ofta nog, icke sällan framföras de muntligen. De fattiga kunna i allmänhet icke själfva affatta dem skriftligt, men man skrifver åt dem för att få frågan i gång. Klagomålen kommuniceras med fattigvårdsstyrelserna och länsmännen, och i de festa fall visar det sig, att klagandena haft orätt. Det är ganska många af klagandena, som äro oroliga själar och ej nöja sig med hvad de knnna få, utan oupphörligt klaga. När de få penningar, använda de dem till att resa upp till Konungens befallningshafvande och klaga. Flera gånger har det ju händt, att de haft rätt, och då hafva fattigvårdsstyrelserna måst gifva med sig. Det finnes ju också redan en statskontroll genom länsmän och läkare, och det kommer också anmälningar i fall, då Konungens befallningshafvande bör och skall ingripa, och då blir det rättelse.</w:t>
        <w:br/>
        <w:br/>
        <w:t xml:space="preserve">Men man måste sätta sig in i, hvilka det är, som skola betala fattigvården. Det är, om vi fortfarande tänka på Jönköpings län, fattiga hemmansägare, som ej fått annat än knoga från första början och endast med yttersta sparsamhet kunnat uppehålla sig och sin familj, som ännu vid 70 å 80 års ålder, i den mån deras krafter tillåta, hjälpa till hos sina barn, vetande, att de icke kunna uppehålla sig på annat sätt. Hvilka äro åter fattighjonen? Jo, personer, på hvilka är tillämpligt hvad som står på sid. 3 i utskottets betänkande: pi vår oroliga tid äro de fattiga långt mera än förr stadda på vandring», personer, som aldrig nöjt sig med att sitta hemma i sina fattiga kommuner, utan gifvit sig ut och en tid haft löner, större än hemmansägarne där nere någonsin drömt om att kunna få, men sedan börjat supa och föra ett dåligt lif, dömts för lösdrifveri och så omsider kommit tillbaka till den kommun, hvarifrån de utgått, men där de naturligtvis då ej ses med stor välvilja af hemmavarande kommunmedlemmar, som ej våga depensera så mycket, som dessa kringflackande gjort. Och den andra afdelningen utgöres ofta nog af </w:t>
      </w:r>
      <w:r>
        <w:rPr>
          <w:b/>
        </w:rPr>
        <w:t>kvinnor¹</w:t>
      </w:r>
      <w:r>
        <w:rPr>
          <w:b w:val="0"/>
        </w:rPr>
        <w:t xml:space="preserve">, som födt ett eller flera oäkta barn. De äro ej heller väl sedda. Medan nu de åldrige hemmansägarne på hemmansdelar om 1. och !/,, mantal knoga och söka hjälpa till med hvad de kunna, hvad vilja dessa göra, som äro intagna i fattighusen? Ingenting, utan de skola blott hafva uppassning och föda. Denna blir naturligtvis därefter, men förnöjsamheten blir också därefter. Jag har varit inne i särdeles många fattigstugor, de flesta, tror jag, som finnas i Jönköpings län. Det var ju mycket olika, men på många ställen erfor jag, att fattighjonen behandlades med mycken kärleksfullhet och därför visade tacksamhet. Jag minnes särskildt ett gammalt par, man och </w:t>
      </w:r>
      <w:r>
        <w:rPr>
          <w:b/>
        </w:rPr>
        <w:t>hustru²</w:t>
      </w:r>
      <w:r>
        <w:rPr>
          <w:b w:val="0"/>
        </w:rPr>
        <w:t>, som varit förmögna, men genom omständigheternas makt förlorat sin förmögenhet och intagits på fattigetugan inom samma kommun, där de förut bott. De erkände sig hafva allt hvad de behöfde, och att alla voro vänliga mot dem. Men de, som varit ute på vandring 15 3 20 år, voro ej belåtna i samma fattigstuga.</w:t>
        <w:br/>
        <w:br/>
        <w:t>Det har vidare talats om att det är svårt att få familjeförsörjare att uppehålla sina familjer. Det är nog ganska riktigt, och det vore önskligt att kunna få ett hastigare och kraftigare ingripande från kommunernas sida. Men att det ej är omöjligt, därpå har jag sctt flera exempel, och när de försumlige familjeförsörjarne behandlas</w:t>
        <w:br/>
        <w:br/>
        <w:t>efter lag, dömas de af Konungens befallningshafvande till tvångsar- Ifrågasatt bete, hvilket gör mycket godt både för dem och för deras gelikar. fier den = R . 5 k ala Friherre Åkerhielm: Jag begärde egentligen ordet med anjattiqvården</w:t>
        <w:br/>
        <w:br/>
        <w:t>ledning af ett yttrande af en talare på stockholmsbänken, att, sedan = m. m. kammarrätten blifvit högsta instans i fattigvårdsärenden, lagtillämp- = (Forts. ningen blifvit betydligt strängare, än den var förut. I senare delen af sitt anförande modifierade han visserligen detta sitt påstående, men jag anser mig ändock böra upplysa, att tillämpningen af 1 $i fattigvårdsförordningen wu är i allt väsenligt densamma, som ägde rum i högsta domstolen, innan domstolens befattning med fattigvårdsärenden upphörde.</w:t>
        <w:br/>
        <w:br/>
        <w:t>Då frågan om de väsentligaste bestämmelserna i fattigvårdsförordningen redan på grund af Riksdagens skrifvelse af år 1899 äro dragna under Kungl. Maj:ts pröfning och i sammanhang därmed väl sannolikt kommer att tagas i öfvervägande, huruvida några åtgärder af den beskaffenhet, hvarom här är fråga, eller för kontroll å fattigvården, skulle vara lämpliga, finner jag för min del ej anledning att nu skrifva till Kungl. Maj:t i denna fråga. Det förvånar mig för öfrigt alldeles icke, att frågan blifvit liggande något längre tid hos Kungl. Maj:t, ty den är verkligen så svår att lösa, att man väl kan behöfva betänketid, innan man kommer med något förslag. Hvad som särskildt ga anledning till riksdagsskrifvelsen af år 1899 var omsorgen om de minderåriga barnen, och det är uppenbart, att det vore af stort värde, om det kunde göras någonting i det afseendet. Men när man tänker sig att kunna hjälpa barnen till den fattigvård, hvaraf de nu kunna vara i saknad, genom en omformulering af 1 $ i fattigvårdsförordningen, så att icke längre, såsom nu, tillämpningen af 1 $ skulle blifva beroende på, huruvida föräldrarne äro arbetsföra och därjämte sådana omständigheter föreligga, som 1 $ omnämner, utan det skulle blifva en mera subjektiv pröfning, huruvida föräldrarne, ehuru arbetsföra, ej äro i stånd att försörja sina barn, må man besinna, att en sådan ändring af fattigvårdsförordningen nog medför sina stora betänkligheter.</w:t>
        <w:br/>
        <w:br/>
        <w:t>Jag vill då först erinra, att det nu är mycket klara och bestämda grunder, efter hvilka man bedömer, huruvida obligatorisk fattigvård skall utgå, men att däremot, om man gjorde en sådan ändring, i stället för de objektiva grunderna skulle träda en rent subjektiv tilllämpning, med den sannolika följd att fattigvårdsförordningen skulle komma att tillämpas på ett sätt i ett län och på ett annat sätt i ett annat o. 8. v. Därmed skulle naturligtvis också följa en ofantligt ökad lust att processa i fattigvårdsärenden, hvilken lust nog är ganska stor förut. Jag kan nämna, att år 1898 fullföljdes till kammarrätten 464 fattigvårdsmål, år 1899 497, år 1900 567, år 1901 578, år 1902 633, och år 1903 644. Och under de två första månaderna i år hafva inkommit 132 fattigvårdmål mot 102 under samma tid år 1903. Det ser sålunda ut, som om antalet sådana mål detta år skulle komma upp till 700 å 800. Detta, då vi hafva objektiva grunder att tilllämpa, men om vi i stället skulle få en subjektiv tillämpning, kan</w:t>
        <w:br/>
        <w:br/>
        <w:t>kontroll öfver den kommunala</w:t>
        <w:br/>
        <w:br/>
        <w:t>komma utt ökas. Det är ju kändt, att man med de år 1871 vidtagna ändringarna</w:t>
        <w:br/>
        <w:br/>
        <w:t>fattigvårdenl fattigvårdslagstiftningen i hufvudsak åsyftade att förmå enhvar att</w:t>
        <w:br/>
        <w:br/>
        <w:t>genom sparsamhet och omtanke själf försörja de sina, så att de ej onödigtvis komme att ligga fattigvården till last, och det är klart, att, om det göres en sådan ändring som den år 1899 ifrågasatta — hvilken nog kan hafva många skäl för gig — man kommer att undandraga sig skyldigheterna mot de sina i vida större grad, än som varit förhållandet förut.</w:t>
        <w:br/>
        <w:br/>
        <w:t>Vidare är det ett särskildt förfarande, som skulle uppmuntras genom en sådan lagändring, det nämligen, att, så snart en fattig familj inflyttat i en kommun, man gifver den fattigunderstöd, för att den ej skall vinna hemortsrätt. Detta ser man redan nu ofta praktiseras, men ett sådant tillvägagångssätt är nu svårare, då det är bestämda grunder, efter hvilka understöd enligt 1 $ skall utgå. Blefve dessa grunder mera sväfvande, kan man lätt tänka sig, i hvilken ökad grad ett dylikt förfarande sedan skulle förekomma.</w:t>
        <w:br/>
        <w:br/>
        <w:t>Jag har icke sagt detta för att påstå, att fattigvårdsförordningen är tillfredsställande sådan den är, utan endast för att påpeka, att svårigheten att åstadkomma rättelse är ganska stor, och att det sannolikt icke är lämpligt att gå den väg, som talaren på stockholmsbänken nämnde, att endast verkställa en sådan ändring, att fattigvård efter 2 $ blir hufvudsakligen likställd med fattigvård efter 1 $. Det har för öfrigt alltid förvånat mig, att man vill se en så stor olikhet mellan kommunernas förpliktelser enligt fattigvårdsförordningens 1 och dess 2 $, och att kommunerna finna sig böra i tillämpningen göra en så stor skillnad mellan de båda. Olikheten är i själfva verket endast den, att enligt 1 $ kommunerna äro Juridiskt skyldiga att lämna fattigvård och berättigade att hos annan kommun utsöka ersättning. Efter 2 $ hafva de visserligen icke den juridiska förpliktelsen och icke heller rätten att erhålla ersättning, men de hafva i allt fall en moralisk skyldighet att lämna den fattigvård, som kan erfordras, och man borde kunna vänta sig, att kommunerna skulle fullgöra den skyldigheten utan att göra sin barmhärtighet beroende af, att de hade tillfälle att från andra återsöka de understöd de lämna.</w:t>
        <w:br/>
        <w:br/>
        <w:t>Herr talman! Jag har intet yrkande att göra.</w:t>
      </w:r>
    </w:p>
    <w:p>
      <w:pPr>
        <w:pStyle w:val="Heading2"/>
      </w:pPr>
      <w:r>
        <w:t>3. unknown (–, –)</w:t>
      </w:r>
    </w:p>
    <w:p>
      <w:r>
        <w:rPr>
          <w:b w:val="0"/>
        </w:rPr>
        <w:t>Jag fick en liten snärt af en talare, en hotelse, att mitt förståndsresonemang skulle dissekeras, och att det då kanske skulle visa sig åtskilliga brister däri. Det tror jag visst kan vara möjligt. Jag tror, att i detta afseende liksom vid snart sagdt all behandling af ärenden svagheter kunna påvisas. Men om det skulle vara fråga om att jag skulle dissekera de sentimentala teorier, som den åsyftade talaren demonstrerat så kraftigt, är det kanske tänkbart, att jag skulle komma till ändå större svagheter. När en person visar sig på det sättet teoretiskt intresserad för en sak, väntar man dylikt äfven i praktiken, att han skall visa sig intresserad af att se, huru det är o. 8. v. Så är det då med talaren i fråga, kunde man tro. Men när han en gång besökte mig och jag</w:t>
        <w:br/>
        <w:br/>
        <w:t xml:space="preserve">tänkte, att han skulle vara intresserad af att se, huru jag hade det Ifrågasatt ordnadt för mitt folk, samt ämnade visa honom ett och annat — jag kontroll vill ej säga, att det var så märkvärdigt — bad han mig slippa och göer fen ville ej se någonting. Det förekommer mycket teori och pappersfattigvården exercis, men när det är fråga om en så allvarsam sak som lagstiftm. m. ning, tror jag, att man icke får låta sig hänföras så mycket däraf. (Forts.) Det är nog många, som arbeta och arbeta intensivt på att åstadkomma förbättringar, och det är mycket aktningsvärdt och bra, men det finnes begränsningar, som uppställas af det praktiska förståndet, som ju är mycket värdefullt att hafva att tillgå. Såsom exempel på, hvilken betydelse det kan hafva att dela upp en kommun i flera mindre fattigvårdsområden, där vederbörande kommunmedlemmar hafva ett mera omedelbart intresse att förekomma, att fattigvården ökas, eller att tillse, att deras underlydande ej blifva så utblottade, att de äro i behof af fattigunderstöd, än som kan göra sig gällande i en kommun med gemensam fattigvård, vill jag meddela följande. En mejerska å en af mina egendomar fick ett oäkta barn. Jag hade själf att svara för fattigvården å egendomen, men om kommunen haft gemensam fattigvård, hade det legat närmast till hands att låta </w:t>
      </w:r>
      <w:r>
        <w:rPr>
          <w:b/>
        </w:rPr>
        <w:t>henne²</w:t>
      </w:r>
      <w:r>
        <w:rPr>
          <w:b w:val="0"/>
        </w:rPr>
        <w:t xml:space="preserve"> och </w:t>
      </w:r>
      <w:r>
        <w:rPr>
          <w:b/>
        </w:rPr>
        <w:t>hennes²</w:t>
      </w:r>
      <w:r>
        <w:rPr>
          <w:b w:val="0"/>
        </w:rPr>
        <w:t xml:space="preserve"> barn falla fattigvården till last. Huru gjorde jag nu i stället? Jag vieste ju, att jag skulle själf få kännas vid det, om det ställdes för dyrbart. Jag lät </w:t>
      </w:r>
      <w:r>
        <w:rPr>
          <w:b/>
        </w:rPr>
        <w:t>henne²</w:t>
      </w:r>
      <w:r>
        <w:rPr>
          <w:b w:val="0"/>
        </w:rPr>
        <w:t xml:space="preserve"> därför behålla sin plats. Det arrangerades så, att </w:t>
      </w:r>
      <w:r>
        <w:rPr>
          <w:b/>
        </w:rPr>
        <w:t>hon²</w:t>
      </w:r>
      <w:r>
        <w:rPr>
          <w:b w:val="0"/>
        </w:rPr>
        <w:t xml:space="preserve"> under en månads tid slapp arbetet och fick hafva en </w:t>
      </w:r>
      <w:r>
        <w:rPr>
          <w:b/>
        </w:rPr>
        <w:t>flicka²</w:t>
      </w:r>
      <w:r>
        <w:rPr>
          <w:b w:val="0"/>
        </w:rPr>
        <w:t xml:space="preserve"> till hjälp. Och </w:t>
      </w:r>
      <w:r>
        <w:rPr>
          <w:b/>
        </w:rPr>
        <w:t>hon²</w:t>
      </w:r>
      <w:r>
        <w:rPr>
          <w:b w:val="0"/>
        </w:rPr>
        <w:t xml:space="preserve"> har sedan skött sin plats utmärkt bra och är ännu kvar. Utan någon ekonomisk uppoffring från </w:t>
      </w:r>
      <w:r>
        <w:rPr>
          <w:b/>
        </w:rPr>
        <w:t>hennes²</w:t>
      </w:r>
      <w:r>
        <w:rPr>
          <w:b w:val="0"/>
        </w:rPr>
        <w:t xml:space="preserve"> husbondes sida blef alltså denna </w:t>
      </w:r>
      <w:r>
        <w:rPr>
          <w:b/>
        </w:rPr>
        <w:t>kvinna¹</w:t>
      </w:r>
      <w:r>
        <w:rPr>
          <w:b w:val="0"/>
        </w:rPr>
        <w:t xml:space="preserve">, så nära att falla fattigvården till last, räddad därifrån, och </w:t>
      </w:r>
      <w:r>
        <w:rPr>
          <w:b/>
        </w:rPr>
        <w:t>hon²</w:t>
      </w:r>
      <w:r>
        <w:rPr>
          <w:b w:val="0"/>
        </w:rPr>
        <w:t xml:space="preserve"> sköter nu om så väl det lilla barnet som mejeriet. Ordnade man mera allmänt på samma sätt, skulle det nog visa sig, att dylika fall ej så allmänt komma under fattigvården. Ser man blott till, att folket ej kommer i utblottadt tillstånd, reder det sig bra. Därför är emellertid bäst, att man söker ställa det så, att de större kommunerna blifva uppdelade i fattigvårdszområden inom trängre gränser, då intresset blir större att ej behandla fattigvården som affär. En sådan anordning är fördelaktig både för de skattebetalande och för de fattiga själfva.</w:t>
      </w:r>
    </w:p>
    <w:p>
      <w:pPr>
        <w:pStyle w:val="Heading2"/>
      </w:pPr>
      <w:r>
        <w:t>4. Hugo Blomberg (Första kammarens protektionistiska parti, man)</w:t>
      </w:r>
    </w:p>
    <w:p>
      <w:r>
        <w:rPr>
          <w:b w:val="0"/>
        </w:rPr>
        <w:t>Då jag icke kan vara med om en skrifvelse begränsad på det sätt, gom den ärade talarens på hallandsbänken förslag innebär, önskar jag uttala mig något liter i den fråga, som föreligger. Det uttalande, som jag sålunda vill göra, går i den riktningen, att den gällande förordningen om fattigvården behöfver i dess helhet undergå granskning, bearbetning och förändring, — en granskning, som emellertid måste beröra många andra punkter och punkter af ännu större vikt och betydelse än den, som i den föreslagna skrifvelsen afses. Jag tror nämligen icke, att man blott och bart genom en ökad kontroll å kommunerna kan nå det önskade målet att åstadkomma en förbättrad vård af de fattiga, utan man måste därjämte beträda en annan väg, nämligen den, att man bereder de ekonomiskt svaga kommunerna möjlighet att lämna sådan fattig-</w:t>
        <w:br/>
        <w:br/>
        <w:t>ifrågasatt vård, som kan behöfvas, för att den skall vara fullt tillräcklig efter</w:t>
        <w:br/>
        <w:br/>
        <w:t>kontroll öfver den kommuala</w:t>
        <w:br/>
        <w:br/>
        <w:t>tidens förhållanden, efter de ökade krafven. Utan att man tager frågan i detta hänseende under ompröfning och att staten erkänner</w:t>
        <w:br/>
        <w:br/>
        <w:t>fattigvården sig böra träda emellan och bistår de kommuner, hvilka sakna för-</w:t>
        <w:br/>
        <w:br/>
        <w:t>måga att själfva bära en börda, som redan nu är för tung för dem, och som de än mindre kunna uthärda, om den skulle så ökas, som de fattiges intresse kan kräfva, kan man ej komma till någon lösning. Den bearbetning, som fattigvårdsförordningen bör undergå, måste sålunda särskildt rikta sig på frågan, om och i hvilken mån staten må biträda de kommuner, hvilka själfva sakna förmåga att tillräckligt kraftigt lämna fattigvård. Först då kan man nå målet.</w:t>
        <w:br/>
        <w:br/>
        <w:t>Med afseende härå tror jag också, att man får litet närmare tänka på hvad den näst siste talaren yttrade om kommunernas ställning till fattigvård efter 2 $. Det är nog sant, att det bör vara en hederssak för kommunerna att lämna äfven sådan fattigvård, men detta endast under den förutsättning, att kommunerna verkligen förmå göra det. Faktiskt visar sig ju, att i allmänhet alla större kommuner, alla kommuner som därtill hafva resurser, verkligen lämna fattigvård i stor utsträckning jämväl efter 2 &amp;. Många små och fattiga kommuner kunna däremot icke sträcka sin verksamhet för fattigvården längre än lagen alldeles nödgar dem, än mindre kunna de lämna fattigvård i större utsträckning, än 1 $ angifver, åt personer, hvilka faktiskt hafva hemortsrätt i andra kommuner och för hvilkas hjälpande de sålunda icke på något sätt kunna påräkna ersättning, om understöd lämnats enligt $ 2. Detta har Jag för min del velat betona, men jag erkänner på samma gång, att de anmärkningar och erinringar med afseende å vår fattigvårdsförordning och dess tillämpning, som förut under denna diskussion gjorts, äfven förtjäna uppmärksamhet och behjärtande.</w:t>
        <w:br/>
        <w:br/>
        <w:t>Jag vill därför uttala den bestämda förhoppning, att Kungl. Maj:t skall upptaga frågan om fattigvårdslagstiftningens reviderande till utredning i alla hänseenden och med särskildt beaktande af, att staten måste träda emellan för att understödja de svaga, de fattiga kommunerna vid fattigvårdens fullgörande; men jag anhåller, att icke något uttalande rörande en enstaka punkt må göras, emedan jag anser detta kunna vilseleda.</w:t>
      </w:r>
    </w:p>
    <w:p>
      <w:pPr>
        <w:pStyle w:val="Heading2"/>
      </w:pPr>
      <w:r>
        <w:t>5. Raoul Hamilton (Frisinnade folkpartiet, man)</w:t>
      </w:r>
    </w:p>
    <w:p>
      <w:r>
        <w:rPr>
          <w:b w:val="0"/>
        </w:rPr>
        <w:t xml:space="preserve">Jag hade ursprungligen ej tänkt begära ordet och har ej heller något yrkande att göra, men Jag kan icke underlåta att för min del häfda den uppfattning inom kammaren, att det sätt, hvarpå fattighjonen utackorderas, bortauktionerandet, är upprörande. Och upprörande är det, att en ledamot af kammaren kan säga, att så ej är förhållandet. Jag har emellertid sett frågan praktiskt och ej blott teoretiskt. Jag har händelsevis varit närvarande på en auktion, där fattighjon bortauktionerades, och det var upprörande att höra, huru en fattig, sjuklig </w:t>
      </w:r>
      <w:r>
        <w:rPr>
          <w:b/>
        </w:rPr>
        <w:t>änka²</w:t>
      </w:r>
      <w:r>
        <w:rPr>
          <w:b w:val="0"/>
        </w:rPr>
        <w:t xml:space="preserve"> ropades ut till underhåll för 50 eller 60 kronor om året, och huru det sedan blef lägre bud undan för undan. Och det är tydligt, att den, som åtnöjdes med den lägsta ersättningen, var den, som hade mest hjärta att låta denna fattiga, sjukliga </w:t>
      </w:r>
      <w:r>
        <w:rPr>
          <w:b/>
        </w:rPr>
        <w:t>änka²</w:t>
      </w:r>
      <w:r>
        <w:rPr>
          <w:b w:val="0"/>
        </w:rPr>
        <w:t xml:space="preserve"> svälta och att taga ut så mycket arbete som</w:t>
        <w:br/>
        <w:br/>
        <w:t xml:space="preserve">möjligt af </w:t>
      </w:r>
      <w:r>
        <w:rPr>
          <w:b/>
        </w:rPr>
        <w:t>henne²</w:t>
      </w:r>
      <w:r>
        <w:rPr>
          <w:b w:val="0"/>
        </w:rPr>
        <w:t>. Däruti ligger det upprörande, och här måste na- Ifrågasatt turligtvis lagstiftningen gripa in för att hindra något dylikt. ER En aktad talare på jönköpingsbänken har framhållit, att han rimmunala många gånger varit inne i fattighus och erfarit, att fattighjonen på fattigvården många håll behandlades väl. Detta må vara sant, men det rör ej — m. m. denna fråga. Fattighjonen må behandlas utmärkt väl i fattighusen (Forts.) — fattigvården är ju bättre i vårt land än i många andra — men det ligger en brist i detta bortauktionerande. Det är en stor brist i vår fattigvårdslagstiftning, att de fattiga få bortauktioneras alldeles som slafvar till den minstbjudande. En, talare har också sagt, att det blir för dyrt att göra på annat sätt. År det för dyrt, mina herrar, för en kommun att underhålla sina fattiga på ett enkelt, men värdigt sätt, då behöfver kommunen hjälp, och då är frågan, om ej staten behöfver gripa in för att lindra kommunalutskylderna i den kommunen. Det kan vara en rätt väg, men ej att låta de oskyldiga fattiga bortauktioneras.</w:t>
        <w:br/>
        <w:br/>
        <w:t>Efter härmed slutad öfverläggning yttrade herr talmannen, att beträffande den föredragna punkten yrkats, dels att utskottets hemställan skulle bifallas, dels ock att kammaren, med afslag å utskottets hemställan, skulle i enlighet med herr von Möllers förslag besluta, att Riksdagen skulle i skrifvelse till Kungl. Maj:t anhålla, det täcktes Kungl. Maj:t efter föregången utredning för Riksdagen framlägga förslag till en mer effektiv kontroll än den nuvarande öfver den kommunala fattigvården.</w:t>
        <w:br/>
        <w:br/>
        <w:t>att Kungl. Maj:t täcktes för främjande af näringslifvet tillsätta ett permanent råd, benämdt nationalekonomiska rådet, bestående af 25 personer, på angifvet sätt utsedda och således erfarna och kunniga män inom näringslifvets olika grenar, nämligen handel, sjöfart, industri och handtverk, bergsbruk, jordbruk, skogsväsendet och fiskerinäringen. Nationalekonomiska rådets uppgift skall vara:</w:t>
        <w:br/>
        <w:br/>
        <w:t>att i största möjliga omfattning ägna omsorg åt näringslifvet i landet;</w:t>
        <w:br/>
        <w:br/>
        <w:t>att noga aktgifva på vårt lands ekonomiska intressen;</w:t>
        <w:br/>
        <w:br/>
        <w:t>att söka verka för en planmässigt och väl ordnad nationalekonomi;</w:t>
        <w:br/>
        <w:br/>
        <w:t>att verka för införande af enkla former och snabb expedition af frågor, som beröra näringslifvet, samt före början af riksdagen hvarje år framlägga för regeringen utredningar och förslag att steg för steg höja och främja näringarna, hvilka utredningar och förslag skola delgifvas Riksdagen, antingen de föranledt till framläggande af regeringspropositioner eller icke. Främst skall rådet utreda de frågor, som Kungl. Maj:t behagar anbefalla, men i öfrigt äga fritt 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