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71</w:t>
      </w:r>
    </w:p>
    <w:p>
      <w:r>
        <w:rPr>
          <w:b/>
        </w:rPr>
        <w:t xml:space="preserve">Datum: </w:t>
      </w:r>
      <w:r>
        <w:t>1906-05-12</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Cornelius Sjöcrona (Första kammarens protektionistiska parti, man)</w:t>
      </w:r>
    </w:p>
    <w:p>
      <w:r>
        <w:rPr>
          <w:b w:val="0"/>
        </w:rPr>
        <w:t>För att icke för mycket upptaga kammarens tid skall jag tillåta mig att i fråga om den svenska flaggans historia hänvisa till det statsrådsprotokoll, som åtföljt den kungl. propositionen. Hos oss har nu sedan sekler gällt, att den tretungade flaggan skulle, vare sig den nu var helt och hållet blå och gul eller var försedd med unionsmärket, vara en örlogsflagg. Detta är dess allmänna egenskap, och det är särskildt påbjudet, att tretungad flagg icke får föras af handelsfartyg, icke får föras såsom handelsflagga. Genom särskilda bestämmelser har medgifvits, att tullstyrelsen, poststyrelsen och telegrafstyrelsen samt det Svenska Segelsällskapet finge föra tretungad flagga, men, som sagdt, den tretungade flaggan hade dock i alla fall egenskapen af en specialflagga. Någon bestämmelse om en verklig nationalflagga för det svenska folket har hittills icke funnits. Emellertid har man sedan några tiotal af år tillbaka i vårt land allt mer och mer börjat att använda flaggning vid högtidliga tillfällen. Det är väl åtminstone 10 å 20 år sedan flaggor allmänt började att svaja till och med på våra folkskolehus. Den tvärskurna flaggan började således att betraktas såsom en nationalflagga, och man ansåg den väl då på det hela taget vara lika god som den andra.</w:t>
        <w:br/>
        <w:br/>
        <w:t>Men så kom 1897 års förordning, som stadgade, att tretungad flagg skulle föras på Konungens slott, på riksdagshuset samt på byggnader och fartyg, som tillhörde krigsmakten till lands och sjöss, äfvensom att en tvåtungad flagga skulle användas på öfriga statens byggnader och af statens ämbetsverk, samt den tvärskurna flaggan af alla andra. Det är ju alldeles gifvet, att man därigenom fått en mellansort emellan den tretungade och den tvärskurna flaggan, och då naturligtvis den flagga, som enligt gällande författningar skulle föras på Konungens slott och på riksdagshuset, måste anses vara den förnämsta, har följden däraf blifvit, att den flagga, som man ville betrakta som nationalflagga, så att säga</w:t>
        <w:br/>
        <w:br/>
        <w:t>blifvit den sämsta, då den var den tredje i ordningen. Detta kan ju emellertid icke vara öfverensstämmande med de begrepp, man vill fästa vid en nationalflagga.</w:t>
        <w:br/>
        <w:br/>
        <w:t xml:space="preserve">I sammanhang med förslag, enligt regeringsformens föreskrift, till bestämmelser om huru flaggan skall se ut, har nu regeringen, och det är jag den mycket tacksam för, också velat införa sådana bestämmelser, att vi här i vårt land skulle få en nationalflagga. Denna skall ju således vara sinnebilden för det gemensamma fosterlandet, det vill säga den skall påminna svenska män och </w:t>
      </w:r>
      <w:r>
        <w:rPr>
          <w:b/>
        </w:rPr>
        <w:t>kvinnor¹</w:t>
      </w:r>
      <w:r>
        <w:rPr>
          <w:b w:val="0"/>
        </w:rPr>
        <w:t xml:space="preserve"> om allt, som innebäres 1 ordet fosterland, om vår tankeoch trosfrihet, om vår urgamla kultur, om våra gemensamma, ärorika minnen, om vårt gemensamma framtidshopp och mycket mera; och när denna nationalflagga skall hafva en sådan betydelse, skall naturligtvis den tretungade flaggan helt och hållet göras till en specialflagga. Därför skall väl Riksdagen i första rummet icke längre föra tretungad flagga, utan den flagga, som Riksdagen själf har varit med om att förklara vara den svenska nationens nationalflagga.</w:t>
        <w:br/>
        <w:br/>
        <w:t xml:space="preserve">Utskottet har af samma skäl icke kunnat förorda bifall till Svenska Segelsällskapets önskan och begäran att få behålla den tretungade flaggan, och utskottet har härvid förklarat sig hysa förvissning därom, att, om den tvärskurna flaggan blir af statsmakterna förklarad vara det svenska folkets nationalflagga, </w:t>
      </w:r>
      <w:r>
        <w:rPr>
          <w:b/>
        </w:rPr>
        <w:t>hon²</w:t>
      </w:r>
      <w:r>
        <w:rPr>
          <w:b w:val="0"/>
        </w:rPr>
        <w:t xml:space="preserve"> skall af alla goda medborgare och således äfven af segelsällskapets ledamöter omfattas med den vördnad och kärlek, som bör tillkomma symbolen för vårt gemensamma fosterland. Jag kan icke finna aunat än att detta är fullt giltigt, och tillåter mig därför att yrka bifall till denna paragraf.</w:t>
      </w:r>
    </w:p>
    <w:p>
      <w:pPr>
        <w:pStyle w:val="Heading2"/>
      </w:pPr>
      <w:r>
        <w:t>2. Sigfrid Wieselgren (–, man)</w:t>
      </w:r>
    </w:p>
    <w:p>
      <w:r>
        <w:rPr>
          <w:b w:val="0"/>
        </w:rPr>
        <w:t>Då den siste ärade talaren, såvidt jag förstod, icke gaf den motionär, som uppträdt i saken, den upplysning, som han önskade, så skall jag be att få göra det. Jag har nämligen själf varit i den ställning som han, att jag egentligen icke förstod, hvad särskildt den tretungade flaggan betydde eller hvarifrån den hade sin upprinnelse. På fråga vid något tillfälle fick jag af en hög auktoritet veta, att de där tre flikarna ursprungligen kallades för stjärtar och representerade drakstjärtarna på vikingaskeppen. Vikingaskeppet hade ju drakhufvudet i fören, men aktern slutade med en drakstjärt, hvilken, såsom synes af den bekanta tapeten i Bayeux, icke alltid var klufven, men antagligen så småningom, under påverkan af en utbildad ornamentik, utvecklades till icke mindre än tre sådana stjärtar. Det är denna derivation, som förklarar, att den tretungade flaggan sedan lång tid tillbaka ansetts såsom en fackflagga, d. v. s. en flagga för krigsfartyg, för vikingaskeppens eftersläkt; därigenom får den ett historiskt berättigande, som är så gammalt, att det bör verka dubbelt vördnadsbjudande.</w:t>
        <w:br/>
        <w:br/>
        <w:t>Jag tror för min del icke, att våra segelsällskap kunna känna sig på något sätt förfördelade utaf att denna gamla, historiska flagga icke anses lämpa sig för deras små glada lustjakter.</w:t>
        <w:br/>
        <w:br/>
        <w:t>Hade lagförslaget varit fullt konsekvent, skulle det i andra paragrafen icke hafva innehållit något annat, än att »örlogsflagga skall föras å flottans fartyg, båtar och byggnader, så ock å hären tillhörande fartyg och båtar, när de föras af militär befälhafvare». Då hade man stått fullkomligt på den historiska grunden. Nu har man också ansett, att denna flagga skulle föras »å rikets fästningar samt å härens kasernbyggnader, lägeroch öfningsplatser samt å byggnad, som i sin helhet är upplåten till stab, truppförband eller militär utbildningsskola». Det är ett afsteg ifrån den fullt rationella grunden; men härens byggnader äro dock »militära&gt;, och namnet örlog innefattar ju visserligen i främsta rummet sjömilitären, men kan ju också få utsträckas till den landtmilitär, som under gångna tider äfven kämpat under samma flagga.</w:t>
        <w:br/>
        <w:br/>
        <w:t>Jag vill ock betona, att hvarken den ene eller den andre bör hafva det allra minsta emot att föra den flagga, som dock är nationens, hela svenska folkets flagga. Den innebär ingenting nedsättande och ingenting »mindre fint&gt; än någonsin den tretungade flaggan; den senare bör aidrig betraktas annat än såsom en fackflagga, under det att den andra är hela svenska folkets flagga, hvilken jag hoppas äfven kommer att af alla såsom sådan uppfattas och i hvilken både konung och folk skola se symbolen för vår nationella enhet.</w:t>
        <w:br/>
        <w:br/>
        <w:t>Jag anhåller om bifall till paragrafen.</w:t>
      </w:r>
    </w:p>
    <w:p>
      <w:pPr>
        <w:pStyle w:val="Heading2"/>
      </w:pPr>
      <w:r>
        <w:t>3. Adolf von Möller (Första kammarens protektionistiska parti, man)</w:t>
      </w:r>
    </w:p>
    <w:p>
      <w:r>
        <w:rPr>
          <w:b w:val="0"/>
        </w:rPr>
        <w:t xml:space="preserve">Det har sagts, att den tvärskurna flaggan skulle blifva nationalflagga; men i paragrafen står, att »Hans Maj:t Konungen och med Hans tillstånd medlem af konungahuset må föra tretungad flagga, med eller utan rikets vapen å hvitt fält i korsets midt». Vi hafva nyss hört, huru den tretungade flaggan uppkommit, att den är en reminiscens från de gamla drakskeppen. Att då, som sagdt, Konungen såsom chef för krigsmakten till lands och vatten använder den, är ju fullkomligt berättigadt. Men jag kan absolut icke fatta, att utaf dessa premisser följer, att medlem af det kungl. huset bör hafva samma rättighet. Det finnes icke endast manliga medlemmar af det kungl. huset, det finnes äfven </w:t>
      </w:r>
      <w:r>
        <w:rPr>
          <w:b/>
        </w:rPr>
        <w:t>kvinnliga¹</w:t>
      </w:r>
      <w:r>
        <w:rPr>
          <w:b w:val="0"/>
        </w:rPr>
        <w:t>, och jag hemställer, om de kunna anses hafva någon särskild anledning att föra denna gamla drakskeppsreminiscens. Det tycker jag icke kan vara fullt lämpligt. Är det så, att den tvärskurna flaggan skall vara vår nationalflagga, så bör den icke gärna kunna vara för simpel för »annan medlem af det kungl. huset.»</w:t>
        <w:br/>
        <w:br/>
        <w:t>Af dessa skäl anser jag mig för min del böra förorda den formulering af 5 $, som reservanten, herr Segerdabl, föreslagit.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