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1021</w:t>
      </w:r>
    </w:p>
    <w:p>
      <w:r>
        <w:rPr>
          <w:b/>
        </w:rPr>
        <w:t xml:space="preserve">Datum: </w:t>
      </w:r>
      <w:r>
        <w:t>1906-05-18</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Adolf Christiernson (–, man)</w:t>
      </w:r>
    </w:p>
    <w:p>
      <w:r>
        <w:rPr>
          <w:b w:val="0"/>
        </w:rPr>
        <w:t>Herr talman, mina herrar! Den siste ärade talaren sade, att herr Persson i Malmö har uppträdt hofsamt och fört ett vackert språk. Denna anmärkning finner jag märklig, ty det är knappast någon talare här i kammaren, som försöker tala</w:t>
        <w:br/>
        <w:br/>
        <w:t>så känsligt och vackert, rent af rörande, som just herr Hammarskjöld. Det låter nästan, som om man hörde en melodram.</w:t>
        <w:br/>
        <w:br/>
        <w:t>Samme talare ställde en hel del frågor till socialdemokraterna, som om det lagförslag, regeringen här framlagt, vore en fråga, som uteslutande intresserade socialdemokratien. Det kan ju hända — men jag tror dock icke att vi behöfva befara, att så beklagligtvis skall blifva förhållandet — att socialdemokraterna äro de enda, som göra opposition mot detta lagförslag. Vi hafva ju dock haft den tillfredsställelsen att höra äfven andra talare uppträda mot detsamma, uppbärande traditioner, som vi känna till från föregående riksdagar, då bondehöfdingar och andra framstående medlemmar af denna kammare yttrat sig till förmån för det, som här prisas såsom något så stort och som ju är stort, nämligen den svenska yttrandefriheten. Men den svenska yttrandefriheten håller på att knappas af. Man började under tullreaktionen, och det ser märkvärdigt ut, att vid den riksdag, då man kunde säga att det nya systemet kulminerat, framkommer ett förslag, som dock innebär en inskränkning af den svenska yttrandefriheten. Ingen skall kunna förneka, att det är fråga om en inskränkning. Sedan må man tvista om huruvida denna inskränkning är berättigad eller icke. Jag vill emellertid hafva fastslaget, att det är en inskränkning.</w:t>
        <w:br/>
        <w:br/>
        <w:t>Herr Hammarskjöld tyckte icke synd om agitatorerna. Nå, herr Hammarskjölds agitatorer behöfver man icke tycka synd om. Viha läst om resolutionerna i Småland. Där kommer ingen åklagare och uppträder mot mötesanordnarne, utan samarbetar snarare med dessa. Men det har funnits en tid, då kanske herr Hammarskjöld haft anledning att tycka synd om personer, med hvilka herr Hammarskjöld sympatiserat, på grund af den behandling, för hvilken de varit utsatta.</w:t>
        <w:br/>
        <w:br/>
        <w:t>Vidare talade herr Hammarskjöld om den »landsförrädiska agitationen» och ansåg, att vi socialdemokrater borde taga afstånd från densamma. Jag vill erinra om att den man, vid hvars namn den landsförrädiska agitationen är knuten — den kallas för hinkeanismen — inför rätta förklarat, att han ansåge landsförräderi för det allra värsta, han kan tänka. Jag tror icke, att vi socialdemokrater här behöfva ytterligare precisera detta, då, såsom sagdt, hinkeanismens chef har förklarat, att han anser landsförräderi för det värsta.</w:t>
        <w:br/>
        <w:br/>
        <w:t>Vi socialdemokrater fingo den komplimangen, att vår press hade blifvit så anständig på sista tiden. Jag beklagar, att jag icke kan återgälda denna komplimang, ty jag tror, att litet hvar af kammarens medlemmar skall kunna konstatera, att språket hos den press, som icke är socialdemokratisk eller, för att använda ett vidare uttryck, icke tillhör regeringspressen, ej blifvit förbättrad. Jag ber att få citera ett yttrande, visserligen icke ur en tidning, men helt nyligen fälldt i en kyrka. Det är mycket anstötligt, och jag tror, att herr Hammarskjöld borde ägna sin uppmärksamhet mera åt att reformera språket på vissa andra håll än att så mycket fästa sig vid språket i den socialdemokratiska pressen. Det var en präst, som i en predikan helt nyligen yttrade: »Så som satan for in i Judas Iskariot, så har</w:t>
        <w:br/>
        <w:br/>
        <w:t>han farit in i vår regering, som i sina åtgöranden drifves af djäfvulen och befordrar djäfvulens verk.» Jag tror, att jag kan säga, att vi dock icke äro de värsta, när det gäller att använda språket.</w:t>
        <w:br/>
        <w:br/>
        <w:t>Med anledning af min partiväns på malmöbänken uttalande om den ryska riksförsamlingen frågade herr Hammarskjöld patetiskt, hvad vi egentligen hade att afundas ryssarne. Ja, jag tror det lämpligaste svaret vara följande ord, som yttrades 1899 af en man, herr Vahlin, som kammarens medlemmar nog känna och respektera. Han sade: »Är det frihet eller tyranni, som födt och håller vid lif nihilismen i Ryssland, är det brist på lagar?» Jag tror, att detta yttrande här kan hafva sin tillämpning. Det är nog icke brist på lagar, som gör, att man har det tillstånd, man har och haft och kommer att få en tid framåt i Ryssland. Men jag tror, att man kan betrakta regeringens förslag naturligtvis icke såsom något ryskt förslag, så galen är jag icke, men dock såsom en lagstiftning, som är onödig och öfverflödig.</w:t>
        <w:br/>
        <w:br/>
        <w:t>Man har försökt att göra hela detta förslag till en åtgärd mot anarkisterna, och naturligtvis — kunde man fastslå, att det vore en lag mot anarkisterna, så skulle ju alla »goda medborgare» anse det för sin plikt att uppträda för lagen, det vill säga särskildt om man med anarkister afser dem, som förorda handlingens propaganda. Här har från juridiskt håll tillräckligt skarpt påpekats — så att jag nu icke behöfver göra det — att detta dock är en kautschukslag, en lag, som har etiketten anarkistlag, men som man kommer att kunna använda nära nog mot hvem som helst och hvad som helst och som särskildt naturligtvis när det gäller den militära agitationen kommer att vara verksam. Det kan ju tyckas — och många finnas här, som mena detta — att militären är helig och att man icke får på något sätt eller i någon form agitera bland de värnpliktige. Men jag tror, att denna uppfattning icke är korrekt, särskildt om man ser på den ställning, militären intager i vårt land.</w:t>
        <w:br/>
        <w:br/>
        <w:t>Om det icke anses vara för förmätet, skall jag be att få göra till mitt ett yttrande, som den nuvarande statsministern en gång fällt. Det är följande ord, han yttrade år 1903: »För en militärisk åskådning är krigsmannen framför allt eller uteslutande krigsman, under det han efter min mening bör med all makt fostras att framför allt vara medborgare». Det var någon som gaf herr statsministern det vitsordet, att hans blick vidgats genom att han framlagt här omdebatterade förslag. Jag tror däremot, att vi icke kunna säga, att hans excellens statsministerns blick har vidgats, om han gått ifrån den uppfattningen, att vår militär i första rummet bör fostras till att vara medborgare. Men hur skall det gå till? Jag vill erinra om en motion, som väcktes i samband med härordningsfrågan, en motion af den store grundlagsväktaren, däri han yrkade på att de värnpliktige icke skola få användas, när det gäller att stilla uppror. Till denna motions försvar uppträdde också hans excellens statsministern, d. v. s. han stod Ju icke då på samma klara ståndpunkt — i mitt tycke — som den store grundlagsväktaren, men han ansåg dock, att man icke fick insnöra de värnpliktige allt</w:t>
        <w:br/>
        <w:br/>
        <w:t xml:space="preserve">för mycket i den blinda lydnadens tvångströja. Herr Hedin framhöll just den pliktkollision, som kan uppstå för de värnpliktige; han åberopade det yttrande, som militarismens främste nu lefvande representant, statsöfverhufvudet i det stora mönsterlandet, fällt, att för en militär gäller det icke att tänka på hvilka han skall skjuta på: om det är hans far, hans </w:t>
      </w:r>
      <w:r>
        <w:rPr>
          <w:b/>
        </w:rPr>
        <w:t>mor²</w:t>
      </w:r>
      <w:r>
        <w:rPr>
          <w:b w:val="0"/>
        </w:rPr>
        <w:t xml:space="preserve">, hans </w:t>
      </w:r>
      <w:r>
        <w:rPr>
          <w:b/>
        </w:rPr>
        <w:t>syster²</w:t>
      </w:r>
      <w:r>
        <w:rPr>
          <w:b w:val="0"/>
        </w:rPr>
        <w:t xml:space="preserve"> eller hans bror, skall han skjuta. Om en militär ställes inför detta, kan man säga, att detta är en högre moral, som bjuder en att icke skjuta. Jag ber att få erinra, att i kammarens protokoll från år 1901 finna vi också detta framhållet, så att det icke är en uppfattning, som här för första gången föres till torgs.</w:t>
        <w:br/>
        <w:br/>
        <w:t>Emot detta att göra militären till ett den blinda lydnadens redskap, som icke reflekterar och icke har någon uppfattning af hvad den gör, det är mot detta, som vi socialdemokrater — och lyckligtvis många med oss — ställa samma kraf som hans excellens statsministern, att medborgaren skall fostras hos soldaten, han skall icke allenast vara soldat. Men hur skall detta ske, om vi hafva en dylik kautschuksparagraf? Det är omöjligt utan konflikter med den. Det är, tycker jag, grafvården, om jag så må säga, som är rest på militieombudsmannens graf, den stora tanken som här i kammaren framförts om en verksam kontroll af militärväsendet. Jag tror, att om något skulle hjälpa till att skapa en militarism, som vore att frukta för landet, vore det säkerligen ott bifall till regeringens förslag. Säkert är, att en sådan lag i sin tillämpning skall blifva mycket svår. Det var visserligen en ärad talare, t. o. m. en borgmästare, som sade, att våra lagar nära nog uteslutande bestå af sväfvande bestämmelser. Det skall jag nu icke tillåta mig att disputera om. Det är en annan fråga. Han sade emellertid också, att detta har väl icke föranledt några särskilda svårigheter för våra domstolar. Nej, naturligtvis icke för dem, men väl för de personer, som varit utsatta för tillämpningen af dessa sväfvande bestämmelser, har det uppstått svårigheter! Jag tror icke att den ärade representanten för Växiö skall kunna förneka, att äfven om han och öfriga domare icke haft svårighet att döma efter en sväfvande bestämmelse, så är det mycket obehagligt för dem, som äro utsatta för att dömas efter sådana bestämmelser. Det kan därför icke vara lyckligt, om vi få en sådan lagbestämmelse.</w:t>
        <w:br/>
        <w:br/>
        <w:t>För öfrigt är denna paragraf, i den formulering den fått, en utvidgning af de Örbomska traditionerna. Hans förslag gick likväl icke igenom helt och hållet, utan åstadkom blott en skärpning i lagen, hvarigenom straffbestämmelsen om ohörsamhet mot lag och laga myndigheter infördes. Nu kommer regeringen visserligen icke igen med detta, som föll under den Örbomska tiden, men den kommer med något, som jag med anledning af juridiskt bildade personers yttranden anser mig kunna kalla för kautschuksbestämmelser. Enligt dessa skulle man kunna åtala nära nog hvad som helst. Jag läste här om dagen i en tidning — som själf anser sig vara samhällsbevarande, och som jag tror att många af kammarens ledamöter också anse för samhällsbevarande — jag läste härom dagen följande:</w:t>
        <w:br/>
        <w:br/>
        <w:t>»Ett är säkert, Sverige har ej bruk för en konungamakt, hvilken söker stå mellan partierna såsom en mäklare utan ansvar, än mindre en som utlämnar sitt prerogativ åt samlingslösningens apostlar! Sverige behöfver och fordrar en konungamakt, som står öfver partierna och håller dem i tygel.»</w:t>
        <w:br/>
        <w:br/>
        <w:t>Med den här föreslagna lagen skall en nitisk åklagare kunna anse, att tidningen uppmanat till ohörsamhet mot lag, ty när man säger, alt man icke har bruk af någonting, menar man ju vanligen därmed, att det är något, som man icke längre vill hafva kvar. Hade något sådant stått med socialdemokratisk omskrifning, tror jag, att herr Hammarskjöld hade citerat detta och framhållit det som ett bevis på att det är nödvändigt, att vi få lagskärpning mot dylika missbruk och hotelser.</w:t>
        <w:br/>
        <w:br/>
        <w:t>Såsom exemplifiering på huru tiderna förändras, vill jag nämna, hurusom den nuvarande statsministern år 1901, beträffande krigslagarnas $ 102 — vi veta den där paragrafen som straffar de meniga, om de prata sinsemellan om att maten är dålig eller att de varit utsatta för någon sämre behandling: denna lagparagraf stadgar ju bland annat, att en krigsman skall uppföra sig anständigt — jag vill nämna, säger jag, hurusom hans excellens statsministern då yttrade: »En mera obestämd, en mera tänjbar strafflagsparagraf skall man leta efter» d. v. s. än denna, som bland annat talar om anständigt uppförande. Hvad är brottslig handling, hvad är anständigt uppförande? Jag tror, att man kan tillämpa detta yttrande på den paragraf, som säger: &gt;»annorledes, såsom genom prisande af brottslig handling». Ty det är nog icke så, som man sökt visa, att det blott är samhällsfarliga, brottsliga handlingar, hvilka ligga alldeles inpå vår egen tid, som då kunna blifva föremål för åtal. Utan bestämmelsen är nog så tänjbar, att man, om man så vill, kan åtala nästan hvad som helst. Om detta förslag blir lag, så kan det hända, att när vi år 1909 skola fira 100-årsminnet af Georg Adlersparres statskupp, af hans militärrevolt, det kan hända, säger jag, att om någon talare prisar detta, så kan det föranleda till åtal. Detta blefve naturligtvis icke fallet med något af de officiella festtalen. Men vi veta, att det är så, att folk hafva så olika uppfattningar af handlingar och händelser. Hvar och en har sitt sätt eller, som herr Centerwall sade, hvarje fågel sjunger efter sin näbb. Det kan komma någon, som då yttrar sig så, att åklagaren på grund af denna lag finner sig föranlåten att ingripa däremot.</w:t>
        <w:br/>
        <w:br/>
        <w:t>Det är således icke blott vi socialdemokrater, som hafva anledning frukta denna lagparagraf, utan jag tror den kan fruktas af personer, hvilkas åsikter skilja sig ganska mycket från våra. Det är ju gifvet, att denna paragraf i första rummet kommer att användas mot, som man säger, anarkisterna, men det är så rysligt lätt att i dylika fall slå ihop socialister och anarkister. Inför polisen äro anarkister och socialister samt andra missnöjda alldeles samma slags folk, de äro allesammans uppviglare, samhällsfiender, och alltså skola de klämmas efter! Vi veta att den där »samhällsfientligheten» sträcker sig ganska långt vid vissa tillfällen, d. v. s. att folk, som man i vanligt fall</w:t>
        <w:br/>
        <w:br/>
        <w:t>icke alls anser för samhällsfiender, ibland får det epitetet. Jag tror</w:t>
        <w:br/>
        <w:br/>
        <w:t>ändringar i 8 därför att om tillämpningen af denna paragraf lägges i händerna på.</w:t>
        <w:br/>
        <w:br/>
        <w:t>åklagarmakten, så komma nog åtskilliga andra äfven till höger om socialdemokraterna att få känna verkningarna däraf; särskildt i en tid som denna, en så politiskt upprörd tid, anser jag det är mycket olyckligt att komma med ett sådant lagförslag, och naturligtvis vore det ännu olyckligare, om det blefve antaget.</w:t>
        <w:br/>
        <w:br/>
        <w:t>Det har framhållits här, att rösträttsfrågan egentligen icke har samband med denna fråga, och det har framhållits, att det är denna kammare som icke vill lösa rösträttsfrågan. Mina herrar, vi skola dock erinra oss, att vi fått så att säga dubbel härordning! Två gånger hafva nya härordningar drifvits igenom, och nu hafva vi en lång utsträckning af öfningstiden. Bördorna hafva ökats på alla områden, och någon revision af krigslagarna har ännu icke verkställts, ehuru saken framhållits af hans excellens statsministern såsom oafvislig. Denne yttrar nämligen: »krigslagsstiftningens revision är alldeles ej tillräcklig för att värja oss mot militarismens faror». Han framhöll då, att det behöfdes en militieombudsman dessutom. Vi hafva hvarken fått en revision af krigslagen, icke heller denne militieombudsman, som skulle vaka öfver att militarismen icke finge utveckla sig så mycket. Det är därför, mina herrar, som vii stället hafva fått denna, som man säger, fosterlandsfientliga agitation! Detta beror just därpå att man icke tagit hänsyn till de folkliga krafven. Om man lagstiftar såsom här är föreslaget, skola herrarna icke tro, att det i någon mån kommer att minska den brottslighet, mot hvilken man vill lagstifta; i dessa tider kommer motsatsen att inträffa, så länge de värnpliktige sakna medborgarrätt. Så länge statsmakterna visa sig sakna allvarligt uppsåt att verkligen stäfja militarismen, så länge kommer dylik agitation att frodas, man må kalla den hvad man vill. Den agitationen är under sådana förhållanden omöjlig att hindra, äfven om man burar in en del, ty det uppstår minst lika många entusiasmerade, lika många fanatiska förkunnare, som dem, hvilka drabbas af strafflagens bestämmelser.</w:t>
        <w:br/>
        <w:br/>
        <w:t>Det vore icke lyckligt, om Riksdagens — man skulle kunna kalla det det sista — beslut i år skulle vara en dylik straffskärpning. Jag yrkar, därför, herr talman, afslag i enlighet med herr Lindhagens framställning.</w:t>
      </w:r>
    </w:p>
    <w:p>
      <w:pPr>
        <w:pStyle w:val="Heading2"/>
      </w:pPr>
      <w:r>
        <w:t>2. Per Pehrsson (Nationella framstegspartiet, man)</w:t>
      </w:r>
    </w:p>
    <w:p>
      <w:r>
        <w:rPr>
          <w:b w:val="0"/>
        </w:rPr>
        <w:t>Herr talman, mina herrar! Jag djärfves här icke ingå på frågans juridiska sida. Ifrån så auktoritativt håll som möjligt har här förklarats, att denna lag är synnerligen väl afpassad. På samma gång har betonats från flera håll, att det ju är en liberal regering, som framlagt denna lag för den svenska Riksdagen. Det är mig en glädje att få stödja Kungl. Maj:ts regering med min röst; och jag är öfvertygad om att det är många, som i det stycket äro ense med mig.</w:t>
        <w:br/>
        <w:br/>
        <w:t>Innan jag ingår på att något närmare bemöta ett eller annat yttrande, som här fällts, må det vara mig tillåtet att, medan jag ännu har i färskt minne hvad den siste talaren yttrade, försöka, åtminstone i någon mån, säga denne talare ett ord till svar. Det var särskildt en historia, som — jag tror närapå, att den ärade talaren för den historien fick bravorop, ehuru jag undrar hvarifrån — synes särskildt hafva slagit an. Det var en s. k. prästhistoria. Herrarne känna alla, att det finns s. k. skepparoch jägarhistorier; i paritet med dem finnas också ett visst slags prästhistorier. Den ärade talaren har ej presterat något som helst bevis för sanningen af hvad han berättade, och tills detta är gjordt, torde hans berättelse få anses vara en sådan historia. »Det stod i en tidning», sade han visserligen. Ja, jag har ännu ej lyckats komma till, eller rättare sagdt, jag har lyckats komma ifrån den där gamla ståndpunkten, där man tror, att allt hvad som är tryckt därför också är sant. Skulle nu en tidningsnotis vara enda grunden för hans berättelse, måste jag här uttala min lyckönskan till att denne talare, som dock själf är tidningsman, har lyckats bevara en sådan vördnad för tidningsuppgifters absoluta vederhäftighet.</w:t>
        <w:br/>
        <w:br/>
        <w:t>Han talade vidare om att denna lag skulle vara en »kautschuklag». Det kan väl hända, att detta uttryck hos honom just betyder det, att denna lag har möjlighet att få användning på vidt skilda fall och att den således kan få en ganska vidsträckt tillämpning, likaväl som att det är för domaren möjlighet beredd att därigenom hafva en ganska vidsträckt latitud för straffets utmätande. Jag tror, att när det gäller kautschukmänniskor, kan det vara ganska lyckligt att hafva en lag af denna beskaffenhet; och jag får väl kalla den man, hvars tillvägagående närmast framkallat denna lag, för en sådan kautschukmänniska. Ty jag ber att få erinra om den siste ärade talarens yttrande, att den man, hvilken som ingen annan här 1 Sveriges rike förkunnat landsförräderiet, när det kom till allvar och han ställdes till laga ansvar därför, förklarade, att landsförräderi var det värsta, han visste. Jag tror, att det behöfves sådana här lagar för kautschukfolk!</w:t>
        <w:br/>
        <w:br/>
        <w:t>Vidare har herr Christiernson försäkrat — och jag förmodar att han därvidlag står i det förhållande till saken, att han kan betraktas som auktoritet — att denna lag icke skulle verka annat än motsatsen till hvad den åsyftar. Det lyster oss i alla fall att en smula pröfva på den saken!</w:t>
        <w:br/>
        <w:br/>
        <w:t>Jag ber att få erinra om ett ord, som för ungefär 14 dagar sedan fälldes i en offentlig församling, ett ord som jag ber herr Christiernson och dem, som ställa sig jämsides med honom, lägga på hjärtat. Det var nämligen en ärad talare, ledamot af denna kammare, som, med användning af en gammal bild, jämförde krigsmakten med brandkåren och assuransbolagen. Han talade om — jag minnes ej själfva uttrycken, och jag har ej tagit med mig referatet af anförandet, enär jag ej gärna kunde vänta, att jag skulle komma i tillfälle att bemöta ett sådant yttrande som det föregående — att det var förunderligt, att man ville försvaga brandkåren och</w:t>
        <w:br/>
        <w:br/>
        <w:t>göra den omöjlig för sitt arbete, att man ville väcka hat mot den kår, som dock har att skydda mitt eget och andras hem. — Här är det ju det svenska folkhemmet som det gäller. — Särskildt är det själfva klämmen i anförandet, som jag skall be herr Christiernson lägga på sinnet. Han slutade så: »Den som så talar — som han här gjort —, utsätter sig för misstankar, som det borde vara honom själf mest angeläget att undvika!»</w:t>
        <w:br/>
        <w:br/>
        <w:t>Det är ett par skäl, som lysa igenom öfverallt i debatten. Det ena -— jag förstår den tanke, som ligger bakom, och det skälet kom särskildt till uttryck i herr Zetterstrands anförande — var, att stämningen i landet skulle så sorgligt påverkas, om i det nuvarande läget denna lag skulle antagas. Jag tror för min enskilda del — och jag ser ett bevis för min tro däri, att det är från den nuvarande regeringen som detta förslag emanerat — att det icke råder någon meningsskiljaktighet i stort sedt inom de allra flesta partier och grupper inom vårt land. Och jag ber eder, mina herrar, som tala om stämningen i landet — denna är för mig i detta stycke ej någon afgörande omständighet — betänka, huruvida icke den allmänna meningen i landet snarare komme att af ett beslut, sådant som det här föreslagna — nämligen ett afslag å Kungl. Maj:ts föreliggande lagförslag — draga den slutsatsen, att Andra Kammaren icke ville mista något af de medel, som man kan använda »för att hålla höga herrar i styr» jag tillåter mig citera ett yttrande, så nyligen fälldt, att det ej kan vara glömdt. Skulle stämningen i landet gå åt det hållet, tror jag, att Andra Kammaren fick åtskilligt besvär med att svara för ett sådant beslut.</w:t>
        <w:br/>
        <w:br/>
        <w:t xml:space="preserve">Det har vidare — och det har gått såsom en underström genom anförandena hos de fleste talarne på den sidan, som är motsatt den jag står på — det har talats, säger jag, i frihetens namn och man har rent af talat om att »afhända sig friheten» genom denna lag. Jag ber att få erinra den förste ärade talaren — han som är domare i Stockholms stad — om hvad som står i en af de gamla svenska domarereglerna. Där heter det: Den sin frihet missbrukar, han är värd att mista </w:t>
      </w:r>
      <w:r>
        <w:rPr>
          <w:b/>
        </w:rPr>
        <w:t>henne²</w:t>
      </w:r>
      <w:r>
        <w:rPr>
          <w:b w:val="0"/>
        </w:rPr>
        <w:t xml:space="preserve">. Det är just denna urgamla domareregel, som vi här vilja hafva tillämpad i lagstiftningen; men densamma gäller icke blott den enskilde, mina herrar, utan hela folket, ty lagarna i folkens, i andens värld gälla icke blott individen, utan äfven folket i dess helhet. Det folk, som missbrukar sin frihet, är värdt att mista </w:t>
      </w:r>
      <w:r>
        <w:rPr>
          <w:b/>
        </w:rPr>
        <w:t>henne²</w:t>
      </w:r>
      <w:r>
        <w:rPr>
          <w:b w:val="0"/>
        </w:rPr>
        <w:t>. Och det är ett missbruk af den frihet, som vi kämpat oss till under många århundradens kamp, den frihet, hvars grundval går tillbaka till vår historias allra äldsta tider, det är, säger jag, ett missbruk af denna frihet, om vi lämna landet öppet för själfsvåld och tyranni. Vi svenskar vilja icke förtryckas, det må vara utifrån eller inifrån, det må vara uppifrån eller nedifrån. Också denna landsförrädiska agitation för till förtryck och tager ifrån oss friheten. Vi kunna vara vissa på att vi också — om vi på detta sätt missbruka vår frihet genom att icke taga vara på den — komma att mista den. Och det svenska folkets frihet</w:t>
        <w:br/>
        <w:br/>
        <w:t>hotas sannerligen af få vådor så stora som den, som själfsvåldet i detta stycke hotar oss med.</w:t>
        <w:br/>
        <w:br/>
        <w:t>Jag skall äfven be att få säga ett par ord gentemot den ärade talaren på malmöbänken, hvars anförande i mer än ett hänseende äfven på mig gjorde det goda intryck, som herr Hammarskjöld i viss mån för sin del gifvit ett uttryck åt. Herr Persson i Malmö talade om sitt förtroende till arbetarne, att de helt visst skola reagera mot »olämpliga uttryck». Ja, jag har stort förtroende äfven jag till den svenska allmogen och till de svenska arbetarne, men det är för mig en nyhet, som jag förvånar mig öfver att ha fått höra från detta håll, nämligen att de svenska arbetarne, den svenska arbetarrörelsen såsom sådan, skulle beröras af denna lag. Jag vill för min del bestämdt protestera däremot. Det är den landsfientliga agitationen, det är landsförräderiet, som denna lagbestämmelse syftar mot och visst icke mot den svenska arbetarrörelsen; och att, på sätt som han gjorde, ställa dessa båda i samband med hvarandra anser jag vara mindre välbetänkt af en man, som i viss mån skall anses föra denna rörelses talan. Det är här — eftersom uttrycket »Hinkeanism» redan kommit att användas i debatten, skall äfven jag tillåta mig bruka det — fråga om en lex Hinke och ej om en lag mot svenska arbetarrörelsen. Vore det så, så skulle jag helt visst ej kunna vara med därpå.</w:t>
        <w:br/>
        <w:br/>
        <w:t>Han har vidare talat om Engelbrekt och Gustaf Vasa, och det har redan af herr Hammarskjöld blifvit påvisadt, huru deras gärningar i någon mån skilja sig från herrar anarkistchefers. Tillåt mig att jämväl påpeka något i deras tillvägagångssätt, som åstadkommer betydlig skillnad mellan de sistnämnde samt Engelbrekt och Gustaf Vasa. Dessa senare trädde fram 1 spetsen och gjorde intet för att draga sig själfva undan. Här är det åter så, att man vill genom dolda ordalag, så långt man kan, sauvera sitt eget skinn under det man för sitt landsförrädiska tal. De af herrarne, som haft tillfälle att läsa den tidning, som detta parti utgifvit och som kom ut för ungefär 14 dagar sedan eller i samband med första maj-demonstrationen, kunna finna, huru det tillgår. Där var det ett prisande -— jag beklagar att jag ej kan citera själfva ordalagen — af händelserna 1 vårt östra grannland. Därunder talade författaren så smygande om att, är det något som står i vägen för hans utveckling, det må vara inrättningar eller personer, skall det bort. Det är moraliskt, &gt;äfven om mord på personerna användes. Och när jag tager hvad Jag behöfver för min frihet, utveckling och lifslycka, så är det moraliskt, äfven om det är stöld.&gt; Jag undrar, om det finnes någon, som ticke tror, att slikt lofprisande af mord och stöld, om också i samband med hvad som skett på annat håll, bör straffas likasåväl som den direkta uppmaningen till brott.</w:t>
        <w:br/>
        <w:br/>
        <w:t>Emellertid, eftersom den ärade talaren var hemma i svensk historia och tydligen historiskt intresserad, så tillåter jag mig att till sist citera för honom ett historiskt ord. I dag är det på dagen 276 år sedan konung Gustaf II Adolf höll sitt afskedstal, innan han gaf sig ut i trettioåriga kriget, till riksens ständer, hvars direkta</w:t>
        <w:br/>
        <w:br/>
        <w:t>arftagare vi, mina herrar, äro. Han talade då några ord, som jag skulle vilja lägga såväl herr Persson i Malmö och de öfriga herrarna, hvilka intaga en ledande ställning på sitt håll, som äfven oss andra på hjärtat. Den store konungens yttrande var närmast ställdt till det svenska prästerskapet, till hvilket han såsom ett testamente sade följande ord: »Så leder det svenska folket i samdräkt, tro och vördsamhet, så att det icke låter locka sig af onda människor, utan förblifver stadigt vid kronan och fäderneslandet.&gt; Jag hoppas, att detta ord, som jag tror ingen invändning kan göras emot, må bli tillämpad historia. Jag tror icke, att det hjälper att inför ondskan klagande stå med händerna i kors och ingenting göra. Låten mig återgifva ett annat ord af samme man: »Det är käringatröst att kvida och lida, men det onda må med goda råd förtagas». Bland goda råd, som vi behöfva i dessa bistra tider, är helt visst det, att vi taga en lag, som sedan också må omsättas i det lefvande lifvet, mot det själfsvåld, som förr eller senare skall föra det svenska folket till ett folksjälfmord, för så vidt det icke i tid stäfjas. Folket har nödvärnsrätt såväl som enskilde; och det är i den fasta öfvertygelsen, att vi, som här stå som svenska folkets representanter, hafva rätt och skyldighet att se till, att icke svenska folket i slapphet begår själfmord under den käringatröst som heter kvida och lida, som jag, herr talman, ber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1021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