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1023</w:t>
      </w:r>
    </w:p>
    <w:p>
      <w:r>
        <w:rPr>
          <w:b/>
        </w:rPr>
        <w:t xml:space="preserve">Datum: </w:t>
      </w:r>
      <w:r>
        <w:t>1907-02-20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August Danielsson (Lantmannapartiet, man)</w:t>
      </w:r>
    </w:p>
    <w:p>
      <w:r>
        <w:rPr>
          <w:b w:val="0"/>
        </w:rPr>
        <w:t>Herr talman, mina herrar! Jag har instämt i motionens syfte. Därför kan jag nu ej underlåta att med några ord understryka hvad här yttrats till förmån för ett allmänt rusdrycksförbud. Krafvet på ett sådant förbud är icke nytt för vårt land. Fordran därpå har framställts upprepade gånger, och icke minst i dessa senaste dagar. Det har inkommit många behjärtansvärda instämmanden i motionen från åtskilliga håll landet rundt, och äro dessa till motionären inkomna instämmanden ett glädjande tecken på, att han vunnit stöd i den allmänna meningen. Jag skulle önska, att motionen vunne framgång, och det har ej legat "mig minst om hjärtat, att en sådan motion skulle kommit långt tidigare än nu, ty hvart man än kommer och ser det stora fördärf, som brännvinet åstadkommer, blir den första reflexionen: Hvarför skola ej regering och Riksdag föranstalta om, att sådant</w:t>
        <w:br/>
        <w:br/>
        <w:t>ohyggligt ofog icke får fortfara släkte efter släkte och fördärfva folk och individer, förstöra allt, som tillhör vår välfärd. Det synes visserligen, att utskottet har visat välmening, såsom vi nyss hafva hört yttras, nämligen genom sin motivering. Men detta är väl ej nog. Det hade varit bättre, om utskottet tillstyrkt motionen än afstyrkt densamma. Det är min fulla öfvertygelse.</w:t>
        <w:br/>
        <w:br/>
        <w:t>Jag har också några erinringar mot motiveringen, som jag tycker mig fullt berättigad att göra. Där heter: »Ett sådant förbud skulle innebära ett alltför stort och af förhållandena i vårt land icke berättigadt ingrepp i den enskildes själfbestämmanderätt.» Om så skulle gå, att detta ingrepp nu blefve lag, så vore väl ej det den första bland våra lagar, som gjorde ingrepp i själfbestämmanderätten. Vi hafva väl lagar förut, som göra ett dylikt ingrepp, så att detta vore väl ej den första och ej heller den farligaste. Jag skulle tro, att vi hafva till och med mycket större ingrepp i själfbestämmanderätten än detta. Det är styrkt och väl styrkt, att alkoholen är en vara, som är både skadlig, giftig och farlig. Sådana saker har Riksdagen före detta satt under lås i apotek. Det vore väl ej så underligt, om äfven denna giftiga vara sattes under lås.</w:t>
        <w:br/>
        <w:br/>
        <w:t xml:space="preserve">Dessutom är det en annan sak i utskottets motivering, som Jag ej kan godkänna, nämligen att nykterhetsarbetet »bör fullföljas på öfvertygelsens väg i förening med väl afvägda lagstiftningsåtgärder till förhindrande af missbruk af rusdrycker», och »att yrkandena på ett rusdrycksförbud icke visat sig äga stöd i någon öfvervägande folkmening». Det kan jag ej gilla. Det finnes en halfva af befolkningen, som jag tycker hafva full rätt att instämma i en sådan motion. Jag menar </w:t>
      </w:r>
      <w:r>
        <w:rPr>
          <w:b/>
        </w:rPr>
        <w:t>kvinnorna¹</w:t>
      </w:r>
      <w:r>
        <w:rPr>
          <w:b w:val="0"/>
        </w:rPr>
        <w:t>. Jag undrar, hur många bland dem finnas, som tillstyrka rusdryckshandteringen, och jag undrar, om denna halfva skulle stå den andra — männen — efter, utan i alldeles öfvervägande grad rösta för ett rusdrycksförbud. Jag kan, som sagdt, omöjligen få i mig, att utskottets motivering verkligen är riktig. Jag skall icke göra något vidare påstående, då saken nu blifvit så väl utredd. Men jag skulle vilja på det allra lifligaste tillstyrka, att motionen blefve bifallen, och därför ber jag att få instämma med reservanterna och yrka blifall till deras hemställan.</w:t>
      </w:r>
    </w:p>
    <w:p>
      <w:pPr>
        <w:pStyle w:val="Heading2"/>
      </w:pPr>
      <w:r>
        <w:t>2. Bernhard Eriksson (Socialdemokraterna, man)</w:t>
      </w:r>
    </w:p>
    <w:p>
      <w:r>
        <w:rPr>
          <w:b w:val="0"/>
        </w:rPr>
        <w:t xml:space="preserve">Herr talman, mina herrar! Det finnes en uppfattning, som tagit sig uttryck i lagbudet om mannens målsmanskap öfver </w:t>
      </w:r>
      <w:r>
        <w:rPr>
          <w:b/>
        </w:rPr>
        <w:t>kvinnan¹</w:t>
      </w:r>
      <w:r>
        <w:rPr>
          <w:b w:val="0"/>
        </w:rPr>
        <w:t xml:space="preserve">, och det är den uppfattning, som gör sig gällande allmänt bland oss män; när man skall lagstifta i en fråga, så tager man endast hänsyn till vår — männens -— uppfattning. Så äfven beträffande den föreliggande frågan. Den blir naturligtvis granskad från männens ståndpunkt, och det därför, att det ännu ej sitter några </w:t>
      </w:r>
      <w:r>
        <w:rPr>
          <w:b/>
        </w:rPr>
        <w:t>kvinnor¹</w:t>
      </w:r>
      <w:r>
        <w:rPr>
          <w:b w:val="0"/>
        </w:rPr>
        <w:t xml:space="preserve"> i denna kammare. När man talar om den personliga friheten, blir den så bedömd,</w:t>
        <w:br/>
        <w:br/>
        <w:t xml:space="preserve">som vi män bedöma den, och ej som </w:t>
      </w:r>
      <w:r>
        <w:rPr>
          <w:b/>
        </w:rPr>
        <w:t>kvinnorna¹</w:t>
      </w:r>
      <w:r>
        <w:rPr>
          <w:b w:val="0"/>
        </w:rPr>
        <w:t xml:space="preserve"> bedöma den. Men Om förbud denna fråga är i alla fall af sådan natur, att det blir </w:t>
      </w:r>
      <w:r>
        <w:rPr>
          <w:b/>
        </w:rPr>
        <w:t>kvinnorna¹</w:t>
      </w:r>
      <w:r>
        <w:rPr>
          <w:b w:val="0"/>
        </w:rPr>
        <w:t xml:space="preserve">, motförsäljning som mest få lida af följderna. Männen gå ifrån sitt hem, hafva pengar "/ Prämuti på fickan, berusa sig, komma hem tomhändta. </w:t>
      </w:r>
      <w:r>
        <w:rPr>
          <w:b/>
        </w:rPr>
        <w:t>Hustrun²</w:t>
      </w:r>
      <w:r>
        <w:rPr>
          <w:b w:val="0"/>
        </w:rPr>
        <w:t xml:space="preserve"> och barnen (Forts) få lida nöd, men ej mannen. </w:t>
      </w:r>
      <w:r>
        <w:rPr>
          <w:b/>
        </w:rPr>
        <w:t>Hustrun²</w:t>
      </w:r>
      <w:r>
        <w:rPr>
          <w:b w:val="0"/>
        </w:rPr>
        <w:t xml:space="preserve"> får ej säga någonting, ej</w:t>
        <w:br/>
        <w:br/>
        <w:t>heller barnen. Vi hafva sålunda ett moraliskt begrepp inblandadt,</w:t>
        <w:br/>
        <w:br/>
        <w:t xml:space="preserve">som ej tillåter </w:t>
      </w:r>
      <w:r>
        <w:rPr>
          <w:b/>
        </w:rPr>
        <w:t>kvinnorna¹</w:t>
      </w:r>
      <w:r>
        <w:rPr>
          <w:b w:val="0"/>
        </w:rPr>
        <w:t xml:space="preserve"> att gå ifrån sina män, de må vara hur</w:t>
        <w:br/>
        <w:br/>
        <w:t>brutala som helst. Den så kallade sedligheten kräfver nämligen,</w:t>
        <w:br/>
        <w:br/>
        <w:t xml:space="preserve">att </w:t>
      </w:r>
      <w:r>
        <w:rPr>
          <w:b/>
        </w:rPr>
        <w:t>kvinnan¹</w:t>
      </w:r>
      <w:r>
        <w:rPr>
          <w:b w:val="0"/>
        </w:rPr>
        <w:t xml:space="preserve"> skall vara sin man undergifven, han må vara hur</w:t>
        <w:br/>
        <w:br/>
        <w:t>dum och hur rå som helst. Men till det sista har man ej tagit</w:t>
        <w:br/>
        <w:br/>
        <w:t>hänsyn, då man stiftat våra lagar. Det synes mig därför, att man</w:t>
        <w:br/>
        <w:br/>
        <w:t>bör undanröja denna stötesten, som hindrar männen att vara snälla</w:t>
        <w:br/>
        <w:br/>
        <w:t>och ordentliga. Och vidare är att märka rusdryckshandteringens</w:t>
        <w:br/>
        <w:br/>
        <w:t>menliga verkan på barnen. Jag tillät mig i fjol, då fråga var om</w:t>
        <w:br/>
        <w:br/>
        <w:t>de affliktiva straffen, att göra en anmärkning mot den lagstift-</w:t>
        <w:br/>
        <w:br/>
        <w:t>ning, som då var föreslagen. Jag ansåg, att denna lagstiftning</w:t>
        <w:br/>
        <w:br/>
        <w:t>var onödig och obeböflig, och att lagstiftningen i stället borde gå</w:t>
        <w:br/>
        <w:br/>
        <w:t>ut på att göra människorna bättre genom att undanröja orsakerna</w:t>
        <w:br/>
        <w:br/>
        <w:t>till brottsligheten. Jag fick instämmanden i denna min uppfatt-</w:t>
        <w:br/>
        <w:br/>
        <w:t>ning. Men man uttalade ändå, att lagen vore behöflig. Nu hafva</w:t>
        <w:br/>
        <w:br/>
        <w:t>vi ett sådant fall, där man enligt mitt förmenande kan göra någon-</w:t>
        <w:br/>
        <w:br/>
        <w:t>ting för dessa unga. Vetenskapen har bestämdt fastställt, att</w:t>
        <w:br/>
        <w:br/>
        <w:t>många af dem, som äro råa banditer, som man säger, hafva blifvit</w:t>
        <w:br/>
        <w:br/>
        <w:t>det genom födelsen därför, att deras föräldrar i onaturlig grad an-</w:t>
        <w:br/>
        <w:br/>
        <w:t>vändt spritdrycker. Därför synes mig, att lagen bör ingripa och undanröja denna fara för det ofödda släktet. Jag anser sålunda,</w:t>
        <w:br/>
        <w:br/>
        <w:t>att vi böra fatta beslut i enlighet med reservationen af herrar</w:t>
        <w:br/>
        <w:br/>
        <w:t>Jag ber att i likhet med herr Byström kraftigt få understryka, att kammaren bör vara utskottet tacksam för den välvilliga motiveringen, men för min del ber jag att äfven få tacka utskottets taleman här i kammaren därför, att han gifvit på hand, att han är villig att verka för lokalt vetos genomförande i Sverige. Det är något, som jag som nykterhetsman ber att få tacka för. Det är ett stöd, som kommer att blifva oss värdefullt.</w:t>
        <w:br/>
        <w:br/>
        <w:t xml:space="preserve">Utskottet anser, att det ej föreligger något allmänt yrkande på rusdrycksförbud, d. v. s. att ett sådant ej har den öfvervägande folkmeningen för sig. Det är något, som man omöjligt kan afgöra. Vi, som sitta här i dag, vi äro ej något uttryck för folkmeningen i Sverige, enligt min uppfattning ej ens för folkmeningen bland männen, och då </w:t>
      </w:r>
      <w:r>
        <w:rPr>
          <w:b/>
        </w:rPr>
        <w:t>kvinnorna¹</w:t>
      </w:r>
      <w:r>
        <w:rPr>
          <w:b w:val="0"/>
        </w:rPr>
        <w:t xml:space="preserve"> ännu ej få influera på valen, kunna vi ej säga, att vi äro något uttryck för folkmeningen i det hela.</w:t>
        <w:br/>
        <w:br/>
        <w:t>Detta utskottets uttalande synes mig böra gifva oss nykterhetsvänner, särskildt oss här i kammaren, anvisning till att gå ut i landet och förorda kraf på rusdrycksförbud. Detta bör förvisso vara ett ytterligare skäl att rösta för herrar Ericssons och Bergs</w:t>
        <w:br/>
        <w:br/>
        <w:t>terhetsmissionering, och när sådana belopp kunna sändas på en dag från ett håll för den saken, då bör detta vara ett bevis för att upplysningsarbetet fortskrider.</w:t>
        <w:br/>
        <w:br/>
        <w:t>Jag ber, herr talman, att få yrka bifall till herrar Ericssons och Bergs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