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1035</w:t>
      </w:r>
    </w:p>
    <w:p>
      <w:r>
        <w:rPr>
          <w:b/>
        </w:rPr>
        <w:t xml:space="preserve">Datum: </w:t>
      </w:r>
      <w:r>
        <w:t>1907-04-26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Lindman (Högerns riksdagsgrupp, man)</w:t>
      </w:r>
    </w:p>
    <w:p>
      <w:r>
        <w:rPr>
          <w:b w:val="0"/>
        </w:rPr>
        <w:t>Herr talman, mina herrar! Vid kammarens sammanträde den 16 innevarande april framställde herr Beckman i Djursholm med kammarens tillstånd till mig följande spörsmål:</w:t>
        <w:br/>
        <w:br/>
        <w:t xml:space="preserve">&gt;»Hvad är anledningen, att regeringen icke i anslutning till dess öfriga förslag beträffande den kommunala rösträtten äfven i enlighet med Riksdagens anhållan framlagt förslag till sådana bestämmelser i bevillningsförordningen m. m., att gift </w:t>
      </w:r>
      <w:r>
        <w:rPr>
          <w:b/>
        </w:rPr>
        <w:t>kvinna¹</w:t>
      </w:r>
      <w:r>
        <w:rPr>
          <w:b w:val="0"/>
        </w:rPr>
        <w:t xml:space="preserve"> med egendom, däröfver </w:t>
      </w:r>
      <w:r>
        <w:rPr>
          <w:b/>
        </w:rPr>
        <w:t>hon²</w:t>
      </w:r>
      <w:r>
        <w:rPr>
          <w:b w:val="0"/>
        </w:rPr>
        <w:t xml:space="preserve"> enligt lag äger att ensam råda, varder med särskild debetsedel för sig beskattad?»</w:t>
        <w:br/>
        <w:br/>
        <w:t xml:space="preserve">Själfva kommunalförfattningarna lägga ej och skulle ej heller efter vidtagandet af de utaf regeringen föreslagna ändringar i samma författningar innebära hinder för en ordning, hvarigenom kommunalutskylderna påfördes särskildt </w:t>
      </w:r>
      <w:r>
        <w:rPr>
          <w:b/>
        </w:rPr>
        <w:t>hustrun²</w:t>
      </w:r>
      <w:r>
        <w:rPr>
          <w:b w:val="0"/>
        </w:rPr>
        <w:t xml:space="preserve"> för egendom</w:t>
        <w:br/>
        <w:br/>
        <w:t xml:space="preserve">och inkomst, däröfver </w:t>
      </w:r>
      <w:r>
        <w:rPr>
          <w:b/>
        </w:rPr>
        <w:t>hon²</w:t>
      </w:r>
      <w:r>
        <w:rPr>
          <w:b w:val="0"/>
        </w:rPr>
        <w:t xml:space="preserve"> enligt lag äger ensam råda, och särskildt mannen för annan egendom och inkomst i boet. Hindret för en sådan ordning är, såsom interpellanten jämväl framhållit, att söka hos bevillningsförordningen. Den kommunala skattskyldigheten är som bekant grundad på den bevillning till staten, som den skattskyldige blifvit påförd. TI de fall, där denna bevillning beräknats efter makars sammanlagda inkomster, är det för de kommunala myndigheterna svårt om icke omöjligt att vid debitering af kommunalutskylderna göra en uppdelning mellan makarna af bevillningen, som i regel i en summa påföres familjefadern för dennes och hans </w:t>
      </w:r>
      <w:r>
        <w:rPr>
          <w:b/>
        </w:rPr>
        <w:t>hustrus²</w:t>
      </w:r>
      <w:r>
        <w:rPr>
          <w:b w:val="0"/>
        </w:rPr>
        <w:t xml:space="preserve"> inkomster.</w:t>
        <w:br/>
        <w:br/>
        <w:t xml:space="preserve">Makars inkomster af kapital och arbete skola nämligen enligt 11 &amp; bevillningsförordningen taxeras gemensamt. Denna anordning, som äger sin motsvarighet i inkomstskatteförordningen, har gifvetvis en viss betydelse vid bestämmande af de skattelindringar, som medgifvits de lägst taxerade inkomsterna; och beträffande inkomstskatten spelar samma ordning en viss roll ej blott vid skattelindringar, utan äfven för tillämpningen af progressionsskalan. Först sedan omförmälda bestämmelse i bevillningsförordningen underkastats en modifiering och därvid beaktats nyssnämnda och andra på frågan inverkande omständigheter, kan en reform i det af interpellanten angifna syfte vidtagas och därigenom säkerhet vinnas, att äfven kommunalutskylderna blifva debiterade särskildt för inkomst, däröfver gift </w:t>
      </w:r>
      <w:r>
        <w:rPr>
          <w:b/>
        </w:rPr>
        <w:t>kvinna¹</w:t>
      </w:r>
      <w:r>
        <w:rPr>
          <w:b w:val="0"/>
        </w:rPr>
        <w:t xml:space="preserve"> äger ensam råda, och särskildt för makars öfriga inkomster.</w:t>
        <w:br/>
        <w:br/>
        <w:t>Interpellanten synes nu förmena, att en dylik modifikation af bevillningsförordningens bestämmelser i 11 $ bort ingå såsom ett moment i de af regeringen föreslagna reformer å kommunallagstiftningens område. Att så icke skett, finner emellertid sin förklaring däri, att nämnda reformer, hvilka hufvudsakligen afse begränsning af den kommunala rösträtten och införande af proportionell metod vid val till stadsfullmäktige, 1 och för sig äro af den räckvidd och djupgående betydelse, att det icke ansetts lämpligt att i sammanhang därmed upptaga sådana jämförelsevis sidoordnade frågor, hvilka icke äga något direkt eller ovillkorligt samband med de stora reformerna.</w:t>
        <w:br/>
        <w:br/>
        <w:t xml:space="preserve">Interpellanten har därjämte ansett det anmärkningsvärdt, att regeringen icke vid utarbetandet af de författningsförslag rörande bevillning och inkomstskatt, som framlagts för och numera pröfvats af Riksdagen, begagnat tillfället att söka åstadkomma en reform i ifrågavarande syfte. En anmärkning i detta hänseende skulle ju kunna anses vinna stöd däraf, att allt sedan slutet af år 1904 förelegat af tillkaliade sakkunnige inom finansdepartementet utarbetadt förslag till, bland annat, sådan ändring af 11 $ bevillningsförordningen, att gift </w:t>
      </w:r>
      <w:r>
        <w:rPr>
          <w:b/>
        </w:rPr>
        <w:t>kvinnas¹</w:t>
      </w:r>
      <w:r>
        <w:rPr>
          <w:b w:val="0"/>
        </w:rPr>
        <w:t xml:space="preserve"> inkomst af kapital och arbete, däröfver </w:t>
      </w:r>
      <w:r>
        <w:rPr>
          <w:b/>
        </w:rPr>
        <w:t>hon²</w:t>
      </w:r>
      <w:r>
        <w:rPr>
          <w:b w:val="0"/>
        </w:rPr>
        <w:t xml:space="preserve"> enligt lag ägde ensam råda, skulle i vissa fall särskildt för sig taxeras till bevillning. Mot</w:t>
        <w:br/>
        <w:br/>
        <w:t>detta förslag liksom mot de likartade bestämmelser, som intagits Svar å i ett af samme sakkunnige framlagdt förslag till förordning om ”terpellation. skatt af inkomst m. m., framställde emellertid kammarrätten i (Forts.) afgifvet utlåtande vissa erinringar. Smärre delar af omförmälda förslag upptogos därefter till närmare pröfning år 1906 och då i hufvudsak allenast i afseende å bestämmelserna angående skattelindringar.</w:t>
        <w:br/>
        <w:br/>
        <w:t xml:space="preserve">Den för 1906 års riksdag framlagda proposition med förslag till ändring af bevillningsförordningens bestämmelser i nämnda afseende var visserligen väsentligen byggd på vissa af de sakkunnige formulerade, i 11 $ inrymda stadganden, men lämnade dock å sido frågan om gift </w:t>
      </w:r>
      <w:r>
        <w:rPr>
          <w:b/>
        </w:rPr>
        <w:t>kvinnas¹</w:t>
      </w:r>
      <w:r>
        <w:rPr>
          <w:b w:val="0"/>
        </w:rPr>
        <w:t xml:space="preserve"> skattskyldighet, ehuru denna fråga, såsom af de sakkunniges förslag i dess helhet framgår, i viss mån sammanhängde med det framlagda förslaget. Att nämnda fråga sålunda ej upptogs till behandling, torde hafva berott på nyssberörda af kammarrätten gjorda erinringar och vissa svårigheter, som i öfrigt yppat sig vid behandlingen af hithörande ämnen.</w:t>
        <w:br/>
        <w:br/>
        <w:t xml:space="preserve">Hade den nuvarande regeringen haft för afsikt att redan vid denna riksdag söka genomföra en reform beträffande själfva grunderna för den direkta beskattningen till staten, hade otvifvelaktigt jämväl frågan om gift </w:t>
      </w:r>
      <w:r>
        <w:rPr>
          <w:b/>
        </w:rPr>
        <w:t>kvinnas¹</w:t>
      </w:r>
      <w:r>
        <w:rPr>
          <w:b w:val="0"/>
        </w:rPr>
        <w:t xml:space="preserve"> skattskyldighet tagits upp till allvarligt öfvervägande. En dylik reform borde emellertid enligt regeringens mening föregås af en omläggning af taxeringsförfarandet — en omläggning, som gifvetvis måste blifva af hufvudsakligen formell natur. Under sådana förhållanden måste behandlingen af åtskilliga eljest trängande frågor rörande skattskyldigheten uppskjutas. Omläggningen af taxeringsförfarandet var nämligen i och för sig så genomgripande och omfattande, att det befanns nödvändigt att, med undantag af några mindre frågor, hvilkas lösning hufvudsakligen gick i riktning att stadfästa praxis, helt koncentrera arbetet på frågan om förändrade bestämmelser rörande skatteåret och hvad därmed ägde sammanhang.</w:t>
        <w:br/>
        <w:br/>
        <w:t xml:space="preserve">Om ock regeringen sålunda hittills funnit sig förhindrad att närmare ingå på frågan om gift </w:t>
      </w:r>
      <w:r>
        <w:rPr>
          <w:b/>
        </w:rPr>
        <w:t>kvinnas¹</w:t>
      </w:r>
      <w:r>
        <w:rPr>
          <w:b w:val="0"/>
        </w:rPr>
        <w:t xml:space="preserve"> skattskyldighet, har regeringen icke förbisett betydelsen af denna frågas lösning. Och synes det mig själffallet, att denna liksom åtskilliga andra frågor på skattelagstiftningens område, med hvilkas pröfning allt för länge fått anstå i afvaktan på en mera genomgripande reform å samma område, nu varda till allvarlig granskning upptagna, sedan genom Riksdagens beslut i anledning af Kungl. Maj:ts propositioner om ny bevillningsförordning och ny inkomstskatteförordning vissa eljest förefintliga svårigheter för ett fortsatt reformarbete undanröjts.</w:t>
      </w:r>
    </w:p>
    <w:p>
      <w:pPr>
        <w:pStyle w:val="Heading2"/>
      </w:pPr>
      <w:r>
        <w:t>2. Ernst Beckman (Liberala samlingspartiet, man)</w:t>
      </w:r>
    </w:p>
    <w:p>
      <w:r>
        <w:rPr>
          <w:b w:val="0"/>
        </w:rPr>
        <w:t>Jag ber att till herr statsministern få framföra min tacksamhet för det ingående svar han</w:t>
        <w:br/>
        <w:br/>
        <w:t xml:space="preserve">Skälet, hvarför den framställdes, är ju nära liggande. Det är nämligen så, att allt mer och i allt vidare kretsar erkännandet af rättfärdigheten i </w:t>
      </w:r>
      <w:r>
        <w:rPr>
          <w:b/>
        </w:rPr>
        <w:t>kvinnans¹</w:t>
      </w:r>
      <w:r>
        <w:rPr>
          <w:b w:val="0"/>
        </w:rPr>
        <w:t xml:space="preserve"> kraf på full både politisk och kommunal medborgarrätt gjort sig gällande. Men statsmakternas åtgöranden hittills ha icke egentligen svarat mot denna allt starkare opinion. Därför har man måst noga taga vara på hvarje smula, som i detta afseende faller från statsmakternas bord. Man hälsar med glädje hvarje uttalande, som ger principiellt erkännande åt en del af eller hela detta kraf.</w:t>
        <w:br/>
        <w:br/>
        <w:t xml:space="preserve">Nu hade Riksdagen gjort en framställning, där man principiellt erkänt, att en del af detta kraf på kommunal likställighet för </w:t>
      </w:r>
      <w:r>
        <w:rPr>
          <w:b/>
        </w:rPr>
        <w:t>kvinnan¹</w:t>
      </w:r>
      <w:r>
        <w:rPr>
          <w:b w:val="0"/>
        </w:rPr>
        <w:t xml:space="preserve"> vore befogad. Det väckte därför, såsom jag redan, då jag framställde min fråga, erinrade om, förstämning hos dem, som saken närmast rörde, att icke något förslag i detta afseende framkommit i samband med det förslag till bevillningsförordning liksom till kommunal rösträttsreform, som af regeringen bragts å bane.</w:t>
        <w:br/>
        <w:br/>
        <w:t>Denna omständighet — att Riksdagens skrifvelse ännu icke ledt till något resultat — har väckt en farhåga, att saken antingen fallit i glömska eller måhända icke af regeringen betraktades med så välvilliga ögon, som man skulle hafva önskat.</w:t>
        <w:br/>
        <w:br/>
        <w:t>Nu har herr statsministern förklarat, att endast svårigheten att samtidigt framkomma med äfven reformförslag i denna ganska invecklade fråga varit orsaken till att sådant icke framlagts. Därjämte har han nu uttalat, att regeringen har sin uppmärksamhet riktad på frågan samt att det efter alla beräkningar icke komme att dröja länge, innan ett förslag framlägges, som 1 denna punkt skall visa tillmötesgående gentemot Riksdagens önskningar.</w:t>
        <w:br/>
        <w:br/>
        <w:t xml:space="preserve">Vid sådant förhållande har jag endast att uttala den förhoppningen, att detta hans löfte snart måtte gå i fullbordan, och därjämte erinra om att hvarje steg, som tages på den banan, är ett principiellt erkännande åt denna viktiga sak och därför betraktas utaf alla vänner till </w:t>
      </w:r>
      <w:r>
        <w:rPr>
          <w:b/>
        </w:rPr>
        <w:t>kvinnans¹</w:t>
      </w:r>
      <w:r>
        <w:rPr>
          <w:b w:val="0"/>
        </w:rPr>
        <w:t xml:space="preserve"> rösträtt, både kommunal och politisk, såsom en ny position, hvarifrån de med förnyadt mod komma att fortsätta sina arbeten.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