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w:t>
      </w:r>
    </w:p>
    <w:p>
      <w:r>
        <w:rPr>
          <w:b/>
        </w:rPr>
        <w:t xml:space="preserve">Datum: </w:t>
      </w:r>
      <w:r>
        <w:t>1907-04-26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Teofron Säve (–, man)</w:t>
      </w:r>
    </w:p>
    <w:p>
      <w:r>
        <w:rPr>
          <w:b w:val="0"/>
        </w:rPr>
        <w:t>Jag anhåller om en stunds uppmärksamhet för att något närmare belysa den anmälan, som konstitutionsutskottets majoritet ansett sig befogad att göra mot en af föredragandena inom statsrådet under året 1906.</w:t>
        <w:br/>
        <w:br/>
        <w:t>För hvar och en, som anser det vara af vikt, att de ärenden, som i statsrådet föredragas för Konungen till afgörande, förut blifvit sorgfälligt beredda, måste det vara af synnerlig betydelse, att föreskriften i 8 10 regeringsformen noga beaktas. Den har följande lydelse: »Innan ärendena hos Konungen i statsrådet föredragas, skola de genom nödiga upplysningars inhämtande från vederbörande ämbetsverk af den föredragande beredas.&gt; Grundlagsbestämmelsen fastslogs af 1809 års lagstiftare, och det oaktadt man då för beredningen hade att tillgå den af åtta personer bestående rikets allmänna ärendens beredning, hvilken ansågs lika nödvändig för statsrådet som nedre justitierevisionen för högsta domstolen. Af än större betydelse blef naturligen grundlagsföreskriften, att nödiga upplysningar skulle inhämtas från vederbörande ämbetsverk efter 1840, då rikets allmänna ärendens beredning afskaffades och 10 $ regeringsformen fick sin nuvarande formulering. Och med den utveckling vårt offentliga lif under de senare åren fått, med de snabbt på hvarandra följande ministärförändringarna, med hvilka följa icke blott växling af personer utan äfven växling af betraktelsesätt och synpunkter, i följd hvaraf kontinuiteten vid regeringsirendenas behandling lätt kan afbrytas, torde vikten af, att grundlagsbestämmelsen i fråga noga iakttages, stå ännu tydligare för ögonen in någonsin förut. Det måste därför anses hafva varit för konstitutionsutskottet en trängande plikt att för Riksdagen anmäla den af-</w:t>
        <w:br/>
        <w:br/>
        <w:t>vikelse från lagstadgad ordning och hittills sorgfälligt följd praxis, Anmärkning som man gjort vid behandlingen af de i statsrådsprotokollen den 20 statsråd, mars och den 11 maj 1906 omförmälda och nu i dechargebetänkandet (Forts.) angifna ärendena, hvilka afgjorts utan nödiga upplysningars inhämtande från vederbörande ämbetsverk.</w:t>
        <w:br/>
        <w:br/>
        <w:t>Att eforalstyrelserna äro de myndigheter, som bort höras öfver de at öfverstyrelsen för rikets allmänna läroverk på nådig befallning uppgjorda förslagen till undervisningsplaner, särskildt i ämnet kristenrdom för realskolan och gymnasiets två första ringar, hvilka genom nyssnämnda regeringsbeslut af den 2 mars och den 11 maj 1906 blifvit anbefallda att tillämpas, har konstitutionsutskottet ansett böra tydligt framgå af kap. 24, $ 3 i kyrkolagen, hvari stadgas: »&gt;»Biskoparna skola ock hafva uppsikt med gymnasier och skolor så ock ungdomens upptuktelse efter skolordningen, uti hvilken ingen må egenvilligt göra någon ändring.»</w:t>
        <w:br/>
        <w:br/>
        <w:t>Det kan ej sägas, att denna paragraf förlorat sin gällande krait genom den nådiga instruktionen för öfverstyrelsen för rikets allmänna läroverk den 28 oktober 1904, ty den nådiga stadgan för rikets all-</w:t>
        <w:br/>
        <w:br/>
        <w:t>männa läroverk af den 18 februari 1905, som sålunda — man må noga observera detta! — är af ett senare datum, bestämmer uttryck-</w:t>
        <w:br/>
        <w:br/>
        <w:t xml:space="preserve">ligen i sin $ 201, att »Eforus tillkommer att hafva uppsikt öfver de allmänna läroverken i stiftet och särskildt öfver det sätt, på hvilket kristendomsundervisningen vid dem handhafves, samt att för sådant ändamål besöka läroverken». För öfrigt lärer väl ingen på administrativ väg utkommen förordning ensamt kunna kullkasta gällande kyrkolag, för hvars upphäfvande fordras samtycke af konung, riksdag och kyrkomöte. Det framhålles emellertid af vännerna af centralisationssystemet inom vårt undervisningsväsende, att Riksdagen 1904, genom att godkänna den kungl. propositionen om den stora läroverksreformen, gifvit sitt bifall till läroverkens sekularisation, men något sådant framgår ej af Riksdagens skrifvelse. Hvad som ur Riksdagens skrifvelse skulle kunna anföras som stöd för sekularisationsvännernas uppfattning skulle väl finnas iden del af Riksdagens skrifvelse, som handlar om öfverstyrelsen, men häri står blott, att Riksdagen »medgifvit; att till biträde vid öfvervakande af examina och utöfvande af den ecklesiastikdepartementet tillkommande uppsikt öfver de allmänna läroverken, enskilda läroverk med dimissionsrätt, statsunderstödda </w:t>
      </w:r>
      <w:r>
        <w:rPr>
          <w:b/>
        </w:rPr>
        <w:t>flickskolor²</w:t>
      </w:r>
      <w:r>
        <w:rPr>
          <w:b w:val="0"/>
        </w:rPr>
        <w:t xml:space="preserve"> och samskolor samt för handläggning af vissa läroverksärenden må enligt närmare föreskrifter i särskild af Eders Kungl. Maj:t utfärdad instruktion inrättas en öfverstyrelse, bestående af en ordförande och fyra ledamöter, hvilka af Eders Kungl. Maj:t förordnas för en tid af 5 år i sänder», hvarjämte Riksdagen »på grund af sitt bifall till förslaget om inrättandet af en öfverstyrelse för de allmänna läroverken ur aflöningsstaten för ecklesiastikdepartementets afdelning af Kungl. Maj:ts kansli uteslutit lön och tjänstgöringspenningar åt en byråchef». Men dessa ord innebära blott, att det var läroverksbyråns inom ecklesiastikdepartementet uppgifter och göromål, som Riksdagen menade skulle öfverflyttas till den nya öfverstyrelsen, i samband hvarmed den äfven indrog byråchefens för den högre undervisningen befattning inom departementet. Och i det yttrande</w:t>
        <w:br/>
        <w:br/>
        <w:t>atsrådsprotokollet, som anföres i propositionen om läroverksre- "formen och som innehåller motiven för upprättandet af en öfverstyrelse, berör dåvarande ecklesiastikministern Carl von Friesen ej eforalstyrelserna med ett enda ord, utan han inskränker sig till att anföra, »att svårigheten för domkapitlen att fungera som läroverksstyrelser med tiden blifvit mera märkbar, att deras rent kyrkliga uppgift alltmera toge deras verksamhet i anspråk, att de icke kunde samverka med hvarandra, att deras arbetssätt enligt sakens natur måste blifva tungt, och att allt detta i väsentlig grad försvårade ernåendet af den enhetlighet och planmässiga ledning, som för läroverkens del vore önskvärda». Visserligen tyckte jag och många med mig, när vi läste dessa ord, att deras udd ej gärna kunde vara riktad mot domkapitlen, hvilka, sedan de befriats från att utnämna lärare vid läroverken, i verkligheten hade mycket litet att beställa med läroverken, men det vore mindre aktningsfullt af mig mot en förtjänt död mans minne att ens uttala en gissning, att han med sina af mig nu citerade ord skulle menat eforalstyrelserna, ty i sådant fall skulle han väl också hafva tydligt uttalat det. Man måste väl därför tro, att statsrådet von Friesens afsikt, då han framlade sin proposition för 1904 års Riksdag var att lämna eforsämbetena i sin egenskap af läroverksestyrelser i väsentliga delar orörda.</w:t>
        <w:br/>
        <w:br/>
        <w:t>En sanning är visserligen, att han efter 1904 års riksdags slut intog en annan ställning i den af honom kontrasignerade instruktionen för öfverstyrelsen äfvensom i läroverksstadgan, hvilka administrativa förordningar ej blott betogo domkapitlen deras befogenhet att vara läroverksstyrelser — hvilket Riksdagen torde få anses hafva i princip gillat — utan äfven med starkt tangerande af kyrkolagen öfver höfvan begränsade eforsämbetenas befogenhet som läroverksstyrelser till förmån för öfverstyrelsen, detta centralisationssträfvandenas illegitima barn, såsom biskop Billing vid förliden Riksdag karaktäriserade den. Men fast står dock, att administrativa förordningar ej ensamma kunna upphäfva kyrkolag.</w:t>
        <w:br/>
        <w:br/>
        <w:t>Jag ber att få särskildt fästa uppmärksamheten på, att man förut vid utfärdandet af bestämmelser, som afsett en omläggning af kristendomsundervisningen vid de allmänna läroverken, ansett sig böra höra de kyrkliga myndigheterna. Så skedde vid utfärdandet at cirkuläret angående den kateketiska undervisningen vid läroverken af den 12 maj 1865, och till detta efter domkapitlens hörande tillkomna cirkulär hänvisade man i cirkuläret af den 11 oktoker 1878 angående antagandet af en ny katekes. Den senaste stora läroverkskommitténs betänkande underställdes de kyrkliga myndigheternas pröfning, hvadan det sålunda, då undervisningsplanen för läroverkens fem lägre klasser af den 13 april 1905, hvilken med afseende på kristendomsundervisningen nära anslöt sig till läroverkskommitténs betänkande, utfärdades, kan på visst sätt sägas, att denna i fråga om ämnet kristendom tillkommit efter de kyrkliga myndigheternas hörande. Men den undervisningsplan för realskolan af den 2 mars 1906, hvarom här närmast är fråga, skiljer sig så väsentligt från läroverkskommitténs betänkande, att det väl kan sägas, att den inaugurerar en fullständig omläggning af kristendomsundervisningen. Och med afseende på denna omlägg-</w:t>
        <w:br/>
        <w:br/>
        <w:t>ning hade utlåtanden från kyrkans målsmän med så mycket större Anmärkning skäl bort infordras, som öfverstyrelsen, som uppgjort förslaget till "of statsrid. kursplanen, näppeligen kunde anses äga erforderlig kompetens för (Forts.) detta uppdrag. Det torde helt visst väcka herrarnes förvåning, då</w:t>
        <w:br/>
        <w:br/>
        <w:t>jag säger, att det viktiga ämnet kristendom icke inom öfverstyrelsen</w:t>
        <w:br/>
        <w:br/>
        <w:t>är representeradt af någon, som aflagt en teologisk universitetsexamen,</w:t>
        <w:br/>
        <w:br/>
        <w:t>samt att af de två sakkunnige, som af öfverstyrelsen tillkallats vid undervisningsplanens utarbetande, den ene icke heller aflagt sådan</w:t>
        <w:br/>
        <w:br/>
        <w:t>examen; den andre, en universitetsprofessor vid teologisk fakultet, är</w:t>
        <w:br/>
        <w:br/>
        <w:t>ej elementarlärare. Jag antager, att öfverstyrelsens medlemmar till-</w:t>
        <w:br/>
        <w:br/>
        <w:t>höra statskyrkan, men de behöfva ej göra det, och det skulle, då läroverksråden kunna ombytas hvart femte år, kunna i framtiden in-</w:t>
        <w:br/>
        <w:br/>
        <w:t>träffa, att platserna i öfverstyrelsen tillsättas med personer, som icke</w:t>
        <w:br/>
        <w:br/>
        <w:t>tillhöra denna kyrka, hvadan det äfven skulle kunna inträffa, att kursplaner och metodiska anvisningar för kri.te; tomsundervisningen</w:t>
        <w:br/>
        <w:br/>
        <w:t>vid våra statsläroverk kunna komma att un; öra: af personer, som</w:t>
        <w:br/>
        <w:br/>
        <w:t>icke omfatta vår kyrkas bekännelse.</w:t>
        <w:br/>
        <w:br/>
        <w:t xml:space="preserve">Att det sätt, hvarpå denna viktiga fråga al regeringen behandlats, väckt den största oro hos den kyrkligt intresserade allmänheten, känna vi alla. Man vill ej, att den svenska kyrkan skall förlora sin rätt att genom sina målsmän öfvervaka, att Sveriges ungdom i de allmänna statsläroverken blir undervisad i </w:t>
      </w:r>
      <w:r>
        <w:rPr>
          <w:b/>
        </w:rPr>
        <w:t>hennes²</w:t>
      </w:r>
      <w:r>
        <w:rPr>
          <w:b w:val="0"/>
        </w:rPr>
        <w:t xml:space="preserve"> lära. Man fordrar samma skydd för att det uppväxande släktet fostras i sina fäders tro, som lagen sedan länge medgifvit dissentersamfunden, hvilka väl förstått skaffa sig garantier för, att deras ungdom bibringas samfundens religiösa åskådning. Och med de anbefallda undervisningsplanerna och medföljande metodiska anvisningar känner man sig ej tillfredsställd. Det är ej min mening att här ingå på en pröfning af innehållet af dessa, men det anser jag mig böra framhålla, att det bör vara klart för hvar och en, som genomläser dem, att de omsorgsfullt undanskjuta hvarje konfessionellt element. Meningen tyckes vara att göra religionsundervisningen rent historisk, d. v. s. »lärare och lärjungar skola», såsom det blifvit anmärkt, »förhålla sig fullkomligt indifferenta till det meddelade stoffet och endast mottaga detta såsom historiska fakta». Och det är ej blott de högkyrkliga, som hysa sådana farhågor. Den evangeliska fosterlandsstiftelsen, som representerar svenska hem i tiotusental, ansåg sig på en talrikt besökt årskonferens i Stockholm sommaren 1906 böra i en petition till Konungen uttala sina bekymmer öfver kristendomsundervisningen vid de allmänna läroverken, och anförde, »att hemmen, å hvilkas vägnar den var befogad att tala, bade rätt att vänta, att verklig kristendomskunskap skulle i statens skolor bibringas deras barn, för att icke säga, att enligt gällande lag ännu hela vårt folk hade denna rätt», hvarjämte den framhöll »betydelsen af en genom eforalstyrelserna utöfvad skärpt kontroll öfver läroböcker och lärare i kristendom som ett värn mot barnens prisgifvande åt en för deras religiösa och andliga karaktärsutveckling ruinerande godtycklighet och subjektivism&gt;. I sitt svar förliden lördag på den till honom i Andra Kammaren af herr Starbäck ställda interpellationen med anledning af den bekanta biskopspetitionen har den nuvarande ecklesiastikministern, enligt hvad jag sett af tidningsre-</w:t>
        <w:br/>
        <w:br/>
        <w:t>klarat, att bakom dem stå hundratusentals föräldrar».</w:t>
        <w:br/>
        <w:br/>
        <w:t>Emellertid, hvad som för konstitutionsutskottet varit hufvudsaken, det har varit tanken på grundlagens helgd, och därför har utskottet ansett sig böra för Riksdagen anmäla den afvikelsen från regeringsformen $ 10, som behandlingen af de i dechargebetänkandet relaterade och at mig nu ytterligare omnämnda regeringsärendena innebär. Jag tilllåter mig ej göra något yrkande.</w:t>
      </w:r>
    </w:p>
    <w:p>
      <w:pPr>
        <w:pStyle w:val="Heading2"/>
      </w:pPr>
      <w:r>
        <w:t>2. Louis Ljungberg (Första kammarens moderata parti, man)</w:t>
      </w:r>
    </w:p>
    <w:p>
      <w:r>
        <w:rPr>
          <w:b w:val="0"/>
        </w:rPr>
        <w:t>Herr talman! Mina herrar! Den formalism, som man ofta och med stort fog klandrat hos våra ämbetsverk, den återfinnes i konstitutionsutskottets föreliggande memorial; och för min del beklagar jag, att denna formalism riktat sig mot genomförandet af den af Riksdagen år 1904 beslutade läroverksreformen, en reform, som af flertalet i vårt land länge varit efterlängtad och blifvit med den största tillfredsställelse mottagen.</w:t>
        <w:br/>
        <w:br/>
        <w:t>Jag skall be att något tydligare, än i memorialet skett, få klargöra sakens läge. Som bekant har den nuvarande läroverksorganisationen grundats på utlåtande af en för ändamålet tillsatt kommité, i hvilket utlåtande ingick fullständigt förslag till ny undervisningsplan för elementarläroverken. Häröfver fingo yttra sig såväl samtliga läroverkskollegier som ock deras dåvarande målsmän, eforerna. På grund af läroverkskommiténs förslag och i närmaste öfverensstämmelse därmed utfärdade Kungl. Maj:t redan sommaren 1904 undervisningsplan för realskolans första och andra klasser, och den 13 april 1905 förordnade Kungl. Maj:t om undervisningsplan för samma skolas tredje och fjärde klasser, detta senare på förslag af den dåmera inrättade öfverstyrelsen för de allmänna läroverken och utan hörande af annan myndighet. Dessa undervisningsplaner hafva af föregående års konstitutionsutskott lämnats utan anmärkning. Den genom Kungl. Maj:ts beslut den 11 maj 1906 fastställda undervisningsplanen för gymnasiets första och andra ringar hvilar på alldeles samma grunder, det vill säga läroverkskommitens förslag, som undervisningsplanen af den 13 april 1905; och då denna sistnämnda af konstitutionsutskott och Riksdag lämnats utan anmärkning, borde konstitutionsutskottet för konsekvensens skull hafva lämnat utan anmärkning den på alldeles samma sätt tillkomna undervisningsplanen af den 11 maj 1906, detta desto hällre som i fråga om läroämnet kristendom endast gjorts den förändring i kommittéförslaget, att åt ämnet i gymnasiets andra ring tilldelats två timmar i veckan i stället för af kommittén föreslagen en timme. Till</w:t>
        <w:br/>
        <w:br/>
        <w:t>var således gällande redan vid utfärdandet af undervisningsplanen af</w:t>
        <w:br/>
        <w:br/>
        <w:t>den 13 april 1905. Af hvad jag sålunda haft äran anföra torde</w:t>
        <w:br/>
        <w:br/>
        <w:t>framgå, att anmälningen, så vidt angår undervisningsplanen för gym-</w:t>
        <w:br/>
        <w:br/>
        <w:t>nasiet, alldeles icke har fog för sig.</w:t>
        <w:br/>
        <w:br/>
        <w:t>Återstår den för realskolan i dess helhet den 2 mars 1906 utfärdade undervisningsplanen, som i fråga om läroämnet kristendom fastslår en väsentligen annan plan för kristendomsundervisningen än den i förenämnda kommittéförslag upptagna. Denna plan har uppgjorts af läroverksöfverstyrelsen efter samråd med tillkallade sakkunnige, däribland teologie professorn Frans Johansson i Lund och har därefter utan någon annan myndighets hörande af Kungl. Maj:t kungjorts till efterrättelse. Konstitutionsutskottet riktar sig nu mot att föredragande departementschefen icke ställt sig till efterrättelse föreskriften i 10 $ regeringsformen angående »nödiga upplysningars inhämtande: från vederbörande ämbetsverk». Ja, det är just frågan, hvilket är vederbörande ämbetsverk? Enligt min mening bör, sedan genom Konungs och Riksdags beslut en öfverstyrelse för läroverken inrättats, denna styrelse anses vara den, som i alla ärenden rörande läroverken skall lämna nödiga upplysningar. Och hade t. ex. professor Johansson enligt uppdrag afgifvit förslag till ifrågavarande undervisningsplan, hade sannolikt icke påfordrats annan remiss af förslaget än till öfverstyrelsen. Men för mig synes saken ganska lika, om öfverstyrelsen omedelbart eller efter remiss afgifver utlåtande i en fråga.</w:t>
        <w:br/>
        <w:br/>
        <w:t>Utskottet tyckes emellertid förmena att, då en ny skolundervisningsplan omfattar ämnet kristendom, eforerna ovillkorligen skola däröfver höras. Denna åsikt grundar utskottet i första rummet på ett åberopadt stadgande i kyrkolagen, af innehåll, att »biskoparna skola ock hafva uppsikt med gymnasier och skolor så ock ungdomens upptuktelse efter skolordningen, uti hvilken ingen må egenvilligt göra någon ändring». Jag anser det vara uppenbart, att detta senare uttryck icke kan vara riktadt mot Kungl. Maj:t och Riksdagen, utan afser allenast eforernas plikt att tillse, att icke någon enskild rektor eller lärare finge tillåta sig göra ändring i den fastställda skolordningen. Detta framgår tydligare, om man läser stadgandet i dess fortsättning, hvari afhandlas biskoparnas rätt att afsätta lärare. Vidare åberopas läroverksstadgans $ 201; men ej häller denna förlänar eforerna annan befogenhet än att hålla uppsikt öfver läroverken och särskildt kristendomsundervisningens handhafvande, d. v. s. att lärarne följa den fastställda undervisningsplanen. Och skulle några brister härutinnan iakttagas, så hafva eforerna att därom göra anmälan hos öfverstyrelsen. För min del finner jag alltså utskottets bevisföring för att eforerna fortfarande skulle intaga en ställning såsom vederbörande myndighet beträffande kristendomsundervisningen vid elementarläroverken ganska svag. I hvarje fall torde utskottets tolkning af åberopade lagstadganden icke vara så väl grundad, att utskottet med fog kunnat däraf hämta</w:t>
        <w:br/>
        <w:br/>
        <w:t>Anmärkning anledning att göra anmälan mot en Konungens rådgifvare. Och jag</w:t>
        <w:br/>
        <w:br/>
        <w:t>särskildt fästa uppmärksamheten därpå, att ehuru eforerna icke ens blifvit hörda öfver förslaget till läroverksstadgan af år 1905, som reglerar deras förhållande till öfverstyrelsen, anmärkning häremot icke blifvit af föregående konstitutionsutskott i Riksdagen framställd.</w:t>
        <w:br/>
        <w:br/>
        <w:t>Ett uttalande af utskottet vill jag däremot gärna biträda, nämligen följande: »Det ligger ock i sakens egen natur att i ett land med statskyrka äfven kyrkliga myndigheter böra få göra sig hörda i fråga om bestämmandet af grunderna och sättet för ungdomens religiöst sedliga fostran». — Jag anser således, att det varit lämpligt att öfver realskoleplanen höra eforerna, så vidt kristendomsundervisningen angår, men därifrån och till en anmälans framställande anser jag vara ett synnerligt stort steg, som visserligen icke bort tagas, om själfva den sak, det gäller, är till sitt innehåll god. Och detta har utskottet icke med ett ord bestridt. För min egen ringa del har jag i egenskap af inspektor öfver ett högre allmänt läroverk den bästa erfarenhet af den ifrågakomna undervisningsplanens stora företräden framför den plan, som tidigare under kyrkliga myndigheters häscn varit gällande just beträffande kristendomsundervisningen; och min erfarenhet har vunnit bekräftelse på alla de sakkunniga håll, där jag i sådant hänseende förhört mig. Såsom ett tillförlitligt omdöme i saken ber jag få åberopa följande uttalande af den högt aktade pedagogen och kristendomsläraren, f. d. rektorn Sigfrid Almkvist. Han säger: »Till en sådan omläggning af hela nederskolans undervisning, så att verklighetsintressets väckande och underhållande blir dess mål, öppnar den nu genomförda ordningen goda utsikter. TT. o. m. för religionsundervisningen, där allt hittills mer än i något annat ämne den abstrakta formalismen haft herraväldet genom både häfd och lag, ha mål och metoder satts sådana, att de andliga verkligheterna själfva, icke det skolastiska systemet, blifvit hufvudsak. Jag tvekar ej uttala, att vi nu för första gången fått en skolordning, som motsvarar modern pedagogiks fordringar, så att den tar fullt hänsyn å ena sidan till tidsförhållandenas bildningskraf, å andra sidan till de i lärjungarnes utvecklingsståndpunkt gifna möjligheterna »</w:t>
        <w:br/>
        <w:br/>
        <w:t>Men är det så, att den undervisningsplan, mot hvars formella tillkomst utskottet reagerar, är erkändt god, får en anmälan mot dess tillskyndare lätt skenet af något personligt öfver sig. Sådant är ju i allmänhet olämpligt och blir det ännu mera i politiskt upprörda tider såsom den närvarande. Jag befarar också, att de kulor, som utskottet velat afskjuta, äro af farligt slag, att de hafva benägenhet att återstudsa och att de därvid lätt kunna träffa någon, för hvilken utskottet är mera ömsint.</w:t>
        <w:br/>
        <w:br/>
        <w:t>Herr talman! Något annat yrkande än memorialets läggande till handlingarna har jag icke att framställa, men jag har velat för egen del uttala mitt ogillande af anmälningen.</w:t>
      </w:r>
    </w:p>
    <w:p>
      <w:pPr>
        <w:pStyle w:val="Heading2"/>
      </w:pPr>
      <w:r>
        <w:t>3. Samuel Clason (Första kammarens protektionistiska parti, man)</w:t>
      </w:r>
    </w:p>
    <w:p>
      <w:r>
        <w:rPr>
          <w:b w:val="0"/>
        </w:rPr>
        <w:t>Då jag i utskottet deltagit i det beslut, till hvilket uttkottet kommit, skall jag anhålla att här få yttra några ord i saken. Jag skall då till en början bedja att få beröra något af hvad den siste talaren anförde gentemot utskottet. Han förklarade bland</w:t>
        <w:br/>
        <w:br/>
        <w:t>annat, att han icke förstod, hvad utskottet menat, då utskottet påpekat, Anmärkning att eforalstyrelsernas yttranden öfver senaste läroverkskommitténs kursot statsri.. plan afgifvits under helt andra förutsättningar än de förhållanden, (Forts.) som senare inträdt. Den saken är dock tämligen tydlig. Af senaste läroverkskommitté framlades icke något förslag om en öfverstyrelses inrättande — förslaget därom antyddes endast reservationsvis af ett</w:t>
        <w:br/>
        <w:br/>
        <w:t>par af kommitténs medlemmar. Då eforalstyrelserna yttrade sig öfver kommittcns betänkande, hade de således ingen anledning att tro, att</w:t>
        <w:br/>
        <w:br/>
        <w:t>någon myndighet skulle tillskapas, som skulle skjuta dem åt sidan i</w:t>
        <w:br/>
        <w:br/>
        <w:t>fråga om ämnet kristendom. Tvärtom gällde enligt dåtida skol-</w:t>
        <w:br/>
        <w:br/>
        <w:t>ordning, som man icke därutinnan afsett att ändra — den allmänna</w:t>
        <w:br/>
        <w:br/>
        <w:t>som skulle användas i skolorna, alltså äfven i fråga om ämnet kristen-</w:t>
        <w:br/>
        <w:br/>
        <w:t>dom. Det var således verkligen förhållandet, att i det hänseendet</w:t>
        <w:br/>
        <w:br/>
        <w:t>sedan dess väsentligen andra förhållanden inträdde genom öfver-</w:t>
        <w:br/>
        <w:br/>
        <w:t>Den ärade talaren framhöll vidare, att, sedan öfverstyrelsen hade inrättats, skulle i dess befogenhet ligga att vara den enda myndighet, af hvilken Kungl. Maj:t i dylika frågor skulle inhämta utlåtanden. Jag förstår icke riktigt den ståndpunkten. Det är ju öfverstyrelsen, som i detta fall inkommit med förslag till Kungl. Maj:t. Och regeringsformens stadgande innebär väl icke, att ett förslag, som inkommer från en underordnad myndighet, icke skall pröfvas af andra myndigheter, utan det är just meningen, att andra myndigheter skola få tillfälle att yttra sig öfver de förslag, som kommit in från ett eller annat håll.</w:t>
        <w:br/>
        <w:br/>
        <w:t xml:space="preserve">Därjämte vill jag betona, att, såvidt jag förstår, vid öfverstyrelsens inrättande det icke någonsin varit fråga om att öfverstyrelsen skulle träda i stället för alla de myndigheter, som med läroverken förut haft att skaffa. Jag skall taga mig friheten att erinra om ett par förhållanden, som passerade vid öfverstyrelsens inrättande. Jag vill då erinra dels om hvad som stod i Riksdagens skrifvelse år 1904, nämligen att Riksdagen »medgifvit, att till biträde vid öfvervakandet af examina och utöfvande af den ecklesiastikdepartementet tillkommande uppsikt öfver de allmänna läroverken, enskilda läroverk med dimissionsrätt, statsunderstödda </w:t>
      </w:r>
      <w:r>
        <w:rPr>
          <w:b/>
        </w:rPr>
        <w:t>flickskolor²</w:t>
      </w:r>
      <w:r>
        <w:rPr>
          <w:b w:val="0"/>
        </w:rPr>
        <w:t xml:space="preserve"> och samskolor samt för handläggning af vissa läroverksärenden må enligt närmare föreskrifter i särskild at Eders Kungl. Maj:t utfärdad instruktion inrättas en öfverstyrelse&gt; o. s. v. Det var således närmast för utöfvandet af den ecklesiastikdepartementet tillkommande uppsikten öfver de allmänna läroverken samt för handläggningen af vissa andra ärenden, som öfverstyrelsen tillkom. I Kungl. Maj:ts proposition förekom också en redogörelse öfver de ärenden, som man afsåg att öfverstyrelsen skulle taga om hand. Såsom jag nyss framhöll, ingick i läroverkskommitténs förslag icke något förslag om Ööfverstyrelse, utan det framkom reservationsvis. I den reservation, där detta skedde — och där öfverstyrelsen för öfrigt betecknades med namnet läroverksråd — omnämndes bland de ärenden, som skulle åligga detta råd, också i en punkt »granskning af läroböcker» — ej beslutanderätt öfver dem — men i det förslag, Kungl. Maj:t framlade för Riksdagen och där i 12 punkter uppräknades hvad</w:t>
        <w:br/>
        <w:br/>
        <w:t>Anmärkning som skulle åligga öfverstyrelsen, finnes icke ett ord därom, att öfver-</w:t>
        <w:br/>
        <w:br/>
        <w:t>styrelsen skulle taga någon befattning med läroböckerna, och något yttrande därom har icke häller, så vidt jag kunnat finna, blifvit fälldt under öfverläggningen i Riksdagen. Men däremot var det en annan sak, som förekom vid ärendets behandling i Riksdagen. Där väcktes nämligen en enskild motion, som innehöll yrkande att »i samband med genomförandet af den förändrade anordningen af läroverken Kungl. Maj:t ville vidtaga åtgärd i syfte, att den befattning med läroverksärenden, som nu tillkomme eforus och konsistorium måtte upphöra, och att för läroverk måtte inrättas en särskild lokalstyrelse» o. s. v. Men utskottet hemställde härvid, att Riksdagen med afslag å den ifrågavarande motionen skulle bifalla Kungl. Maj:ts förslag, och detta blef äfven Riksdagens beslut. För så vidt Riksdagen yttrat sig om saken, har Riksdagen således tagit bestämdt afstånd från den ståndpunkten, att öfverstyrelsen skulle vara den enda myndighet, som hade med de allmänna läroverken att skaffa.</w:t>
        <w:br/>
        <w:br/>
        <w:t>Den ärade talaren ingick också på kursplanen. Jag skall här icke närmare inlåta mig på densamma; jag vill endast erinra, att beträffande den tidigare kursindelninz, som fastställdes den 13 april 1905, framhöll öfverstyrelsen själf, att den i allt väsentligt stode i öfverensstämmelse med läroverkskommittens hemställan, hvaröfver eforalstyrelserna, såsom nämndt, haft tillfälle att yttra sig, men att i fråga om den senare kursplanen öfverstyrelsen lika uttryckligt sagt, att den innebar en genomgående omläggning af tidigare kursplan. Man kan väl då fråga sig, om det icke varit skäl, att eforalstyrelserna fått yttra sig äfven i detta fallet.</w:t>
        <w:br/>
        <w:br/>
        <w:t>Jag har här berört vissa med föreliggande fråga sammanhängande spörsmål, som kunna sägas vara af mera formell karaktär. Enligt min uppfattning ligga emellertid bakom dem realiteter af mycket djupt ingripande betydelse, och jag skulle vilja från en historisk synpunkt, som kan ligga nära till hands för, mig att anlägga, något beröra äfven den sidan af saken.</w:t>
        <w:br/>
        <w:br/>
        <w:t>Den mest genomgripande omhvälfning, svenska folket på alla områden, icke minst på statslifvets, har undergått, är enligt min öfvertygelse kristendomens införande. Den vann också omedelbart uttryck i lagstiftningen. Den äldsta af våra skrifna lagar är som bekant den äldre Västgötalagen och dess allra första ord, alltså det äldsta kända svenska skrifna lagbud, har den betecknande lydelsen: »Kristus är först i vår lag». Detta har uttolkats så, att landskapets lagstiftare genom att ställa Kristus först i lagen ville hylla och ära honom såsom den störste och ville taga honom och hans namn framför allting annat i lagens helgd. Jag skall icke ingå på den genomgripande förändring på alla sambhällslifvets områden, som detta kristendomens upptagande innebar; man skulle kunna sammanfatta det däruti, att staten icke blott skall vara en rättsstat för upprätthållande af vissa gamla rättssedvänjor, utan staten skall också vara en kulturstat; statsmakten skall arbeta för främjande af religiösa och sedliga syften och detta skall den göra på kristlig grund.</w:t>
        <w:br/>
        <w:br/>
        <w:t>Medeltidskyrkan började emellertid att förverldsligas; dess styresmän, som icke funnos hemma i landet, utan långt borta i Rom,</w:t>
        <w:br/>
        <w:br/>
        <w:t>främmande för det svenska statslifvet och därifrån hemsände för vårt Anmärkning land olämpliga påbud, hemföllo åt en kulturriktning, som ofta var”? stateråd, allt annat än kristlig. Skulle den svenska staten under sådana för- (Forts.) hållanden fortfarande kunna fylla sin uppgift som kulturstat på kristlig</w:t>
        <w:br/>
        <w:br/>
        <w:t>grund, behöfdes därför en reformation; och en reformation kom. Men</w:t>
        <w:br/>
        <w:br/>
        <w:t xml:space="preserve">den betecknade i följd däraf icke något uppgifvande af den gamla ståndpunkten, utan endast ett fördjupande däraf. Kyrkans värdsliga maktställning skall ändras och </w:t>
      </w:r>
      <w:r>
        <w:rPr>
          <w:b/>
        </w:rPr>
        <w:t>hennes²</w:t>
      </w:r>
      <w:r>
        <w:rPr>
          <w:b w:val="0"/>
        </w:rPr>
        <w:t xml:space="preserve"> gärning riktas mera inåt; men statsmakten får icke därvid stå likgiltig; utan den är, enligt reformationstidens politiska grundåskådning, liksom allt, gifven af Gud, och</w:t>
        <w:br/>
        <w:br/>
        <w:t>skall därpå såsom allt användas för att främja en kristlig kulturstats ändamål. Den, som något känner till reformationstidens statsrättsliga</w:t>
        <w:br/>
        <w:br/>
        <w:t>akter, vet, huru den gamla åskådningen om det innerliga sambandet</w:t>
        <w:br/>
        <w:br/>
        <w:t>mellan statsordningen och kristen religion i dem oupphörligen framträder,</w:t>
        <w:br/>
        <w:br/>
        <w:t>och; detta icke blott i akter, som röra kyrkan, utan äfven öfverallt i</w:t>
        <w:br/>
        <w:br/>
        <w:t>sådana, som endast afse den borgerliga lagstiftningens kraf, såsom i</w:t>
        <w:br/>
        <w:br/>
        <w:t>Jag vill här endast citera ett enda ställe, nämligen de ord, som stå i</w:t>
        <w:br/>
        <w:br/>
        <w:t>spetsen för 1634 års regeringsform, där det i första paragrafen heter,</w:t>
        <w:br/>
        <w:br/>
        <w:t>att »enighet i religionen och den rätta gudstjänsten är den kraftigaste grundval för ett lofligt, samdräktigt och varaktigt regemente», en sanning, som framträdde för den tidens svenskar så mycket starkare,</w:t>
        <w:br/>
        <w:br/>
        <w:t>som de ju rundt omkring sig sågo den sönderslitenhet, som på detta</w:t>
        <w:br/>
        <w:br/>
        <w:t>område rådde i andra länder.</w:t>
        <w:br/>
        <w:br/>
        <w:t>Ur denna grund framväxte sedan Sveriges världshistoriska insats, som vi ännu hvarje år fira som vårt dyrbaraste minne, då vi fira den 6 november. Ty hvad betydde den striden? Den betydde, att man utifrån velat bestrida Sverige rätten och plikten ätt vara och förblifva en evangelisk kulturstat. Och segern betydde då, att den rätten blef för sekler betryggad åt det svenska folket. Öfvertygelsen om detta innerliga samband mellan det svenska statslifvet och evangelisk luthersk kyrka är således i eminent grad ett arf från våra fäder, ett arf från det bästa, som de hafva uträttat, från deras stora världshistoriska insats och från vår störste konungs kungagärning. Och det är naturligtvis därför, som den svenska staten sedan dess önskat, att den ung-</w:t>
        <w:br/>
        <w:br/>
        <w:t>dom, som tillhör den — med undantag för främmande trosbekännare, som ju få sköta sig själfva — skall undervisas i evangelisk luthersk tro.</w:t>
        <w:br/>
        <w:br/>
        <w:t xml:space="preserve">De åtgärder, mot hvilka konstitutionsutskottet nu har riktat sin anmärkning, kan jag icke finna innebära annat än en början — afsiktlig eller icke — att afskära det nyssnämnda sambandet. Ty hvad är det, som sker därigenom? Jo, staten vill fortfarande, att undervisning skall meddelas i »kristendom»; men huru denna undervisning skall ske, efter hvilka grunder, med hvilka läroböcker, däröfver skulle kyrkan icke blott icke få något att bestämma, utan i förevarande fall har man icke ens velat fråga </w:t>
      </w:r>
      <w:r>
        <w:rPr>
          <w:b/>
        </w:rPr>
        <w:t>hennes²</w:t>
      </w:r>
      <w:r>
        <w:rPr>
          <w:b w:val="0"/>
        </w:rPr>
        <w:t xml:space="preserve"> målsmän till råds, och detta trots att det här gällde en genomgående omläggning af undervisningsplanen i ämnet och trots att de förut alltid blifvit hörda i dylika fall. Det är klart, att sådant icke kan gå ihop, och följderna ha också på många håll visat sig i mycken oro, och detta -— det vill jag betona —</w:t>
        <w:br/>
        <w:br/>
        <w:t>icke blott hos kyrkans officiella målsmän, biskoparne, eller hos olika slags prästkonferenser, utan ock inom de mera fria samfunden inom den svenska statskyrkan, representerade af den evangeliska fosterlandsstiftelsen och det svenska missionsförbundet. Det sistnämnda af dessa har därvid tydligt pekat på de naturliga konsekvenserna, då det sagt, att om här icke gifves oss någon garanti, att kristendomsundervisningen i skolorna, till hvilka vi måste sända våra barn, blir en undervisning, vid hvilken reformationens grundprinciper upprätthållas, så — bort med våra barn ur skolorna! Hvad har man då vunnit? Jo, man har splittrat undervisningen, väckt misstro mot statsskolorna; skadat statens skolor genom att tvinga fram fristående privatskolor, frammanat olikartade fristående religiösa samfund, öfver hvilkas utveckling staten icke har någon som helst kontroll, kort sagdt, man har slagit in på en väg, som leder därhän, att man kastar in vårt land i sådana strider och slitningar på detta område, från hvilka vi hittills varit förskonade, men som vi sett rasa omkring oss i Tyskland, Italien, Frankrike och nu senast i England, och som varit till största men för dessa länders hela inre utveckling, icke minst på det politiska området. Och så har man gjort sig urarfva från det, som var ett arf från fäderna.</w:t>
        <w:br/>
        <w:br/>
        <w:t>Nu vet jag mycket väl, att det finnes somliga, som just önska. detta; de vilja, att staten icke skall hafva någon religion. De önska visserligen, att staten alltjämt skall vara en kulturstat — somliga tala öpppet om, att hednisk lifsglädje, antik skönhetskult och sådant där skall vara dess bas, andra veta icke, hvad det skall vara för en kultur, men därom äro de ense, att en kristen och protestantisk kulturstat får det icke vara. Nu är jag för min del förvissad om, att det svenska folket, det stora svenska folket, icke vill vara med om en sådan urarfvagörelse af det, som af så många betraktas såsom ett af våra dyrbaraste arf, och jag är också öfvertygad, att det icke vore lyckligt för oss att slå in på den vägen. Därom må man emellertid hafva hvilken åsikt som helst, det står dock fast, att ett dylikt steg skulle innebära den största omhvälfning i vårt samfundslif på alla områden, en omhvälfning ungefär jämförlig med den som skedde, när kristendomen infördes eller reformationen genomfördes. Och då menar jag, att skall man slå in på den vägen, så skall man göra det med fullt öppna ögon, man skall ha tänkt sig till botten i saken, satt sig in i alla dess konsekvenser, veta hvad man skall sätta i stället, vara förvissad om, att det verkligen är folkets önskan och dessutom därom hafva fullt klara beslut af statsmakterna. Men skall man slå in på en väg, som leder dit, skall man icke göra det i tysthet, i strid mot gällande lag, genom en administrativ författning och en underordnad administrativ myndighet, vid hvars tillskapande af statsmakterna det icke var på minsta sätt antydt, att något sådant skulle vara meningen.</w:t>
        <w:br/>
        <w:br/>
        <w:t>Detta är anledningen, hvarför jag biträdt konstitutionsutskottets anmälan.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