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1051</w:t>
      </w:r>
    </w:p>
    <w:p>
      <w:r>
        <w:rPr>
          <w:b/>
        </w:rPr>
        <w:t xml:space="preserve">Datum: </w:t>
      </w:r>
      <w:r>
        <w:t>1907-05-22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Lindgren (Liberala samlingspartiet, man)</w:t>
      </w:r>
    </w:p>
    <w:p>
      <w:r>
        <w:rPr>
          <w:b w:val="0"/>
        </w:rPr>
        <w:t>För min del har jag icke något emot, om kammaren vill tilldela denna person 300 kronor, men jag har begärt ordet för att upplysa motionären och reservanten om orsaken, hvarför utskottet kommit till siffran 200.</w:t>
        <w:br/>
        <w:br/>
        <w:t xml:space="preserve">I den ansökan, som arbetaren Svensson ingifvit till Kungl. Maj:t, säges det att han numera vore oförmögen att till fullo försörja sig och sin familj, och anhöll han därför, att något understöd måtte honom beredas. Jmligt vederbörande pastors intyg vore Svensson med de sina, </w:t>
      </w:r>
      <w:r>
        <w:rPr>
          <w:b/>
        </w:rPr>
        <w:t>hustru²</w:t>
      </w:r>
      <w:r>
        <w:rPr>
          <w:b w:val="0"/>
        </w:rPr>
        <w:t xml:space="preserve"> och sex barn, af hvilka det äldsta uppnått 22 är och det yngsta 14 år, i relativt goda ekonomiska omständigheter, dock ej mera än hvad som genom dagligt arbete förtjänades för uppehället. Vidare framgår af handlingarne, att Svensson icke genom olyckshändelsen vore otjänstbar, utan fortfarande kunde arbeta. Statskontoret har ansett, att Svensson enligt ersättningslagen skulle vara berätligad till 90 kronor, och på grund däraf har Kungl. Maj:t föreslagit, att Riksdagen borde bevilja honom detta belopp, 90 kronor.</w:t>
        <w:br/>
        <w:br/>
        <w:t>Vid behandling af denna fråga på afdelningen, kom afdelningen till den öfvertygelsen, att 90 kronor vore en obetydlig ersättning, men man ansåg sig icke på grund af de förhållanden, som förelågo, kunna tillstyrka motionärens hemställan, utan enade sig i den uppfattning, att det riktigaste vore, att han borde tilldelas 200 kronor. Denna uppfattning hyste också utskottet, men skulle nu kammaren bevilja honom 300 kronor, vill jag icke säga någonting däremot.</w:t>
        <w:br/>
        <w:br/>
        <w:t>: Jag ber emellertid att få yrka bifall till utskottets hemställan.</w:t>
      </w:r>
    </w:p>
    <w:p>
      <w:pPr>
        <w:pStyle w:val="Heading2"/>
      </w:pPr>
      <w:r>
        <w:t>2. Jacob Larsson (Liberala samlingspartiet, man)</w:t>
      </w:r>
    </w:p>
    <w:p>
      <w:r>
        <w:rPr>
          <w:b w:val="0"/>
        </w:rPr>
        <w:t xml:space="preserve">Då den siste ärade talaren påpekade, med relaterande af vederbörande pastors intyg, att Svensson skulle vara i relativt goda ekonomiska omständigheter, så vill jag hemställa till herrarna att också läsa fortsättningen af det citat han använde. I pastors intyg heter det, att han med </w:t>
      </w:r>
      <w:r>
        <w:rPr>
          <w:b/>
        </w:rPr>
        <w:t>hustru²</w:t>
      </w:r>
      <w:r>
        <w:rPr>
          <w:b w:val="0"/>
        </w:rPr>
        <w:t xml:space="preserve"> och sex barn lefde i relativt goda ekonomiska omständigheter, »dock ej mera», säges det i fortsättningen, »än hvad som genom dagligt arbete förtjänas för uppehället&gt;. Hans ekonomiska omständigheter äro sålunda icke bättre, än att han för sin utkomst är hänvisad till sitt arbete.</w:t>
        <w:br/>
        <w:br/>
        <w:t>Jag finner mig föranlåten att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