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w:t>
      </w:r>
    </w:p>
    <w:p>
      <w:r>
        <w:rPr>
          <w:b/>
        </w:rPr>
        <w:t xml:space="preserve">Datum: </w:t>
      </w:r>
      <w:r>
        <w:t>1908-02-08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Då jag, ehuru suppleant, haft tillfälle att deltaga i lagutskottets behandling af detta ärende och därför står med bland reservanterna, vågar jag med ett par ord fästa kammarens uppmärksamhet på några särskilda synpunkter i denna efter min mening mycket betydelsefulla fråga.</w:t>
        <w:br/>
        <w:br/>
        <w:t>År 1905, då denna motion förelåg, väckt inom Riksdagen af den nuvarande chefen för ecklesiastikdepartementet, beslöt ju Första Kammaren att instämma med det dåvarande lagutskottet, som enhälligt tillstyrkte motionen. Man har ju också af den diskussion, som nu försiggått i frågan kunnat förstå, att Första Kammaren vill vidblifva denna sin ståndpunkt. Detta är, enligt min mening, äfven om man icke kan hoppas, att denna gång få medkammaren med sig, mycket lyckligt, ty, då motionären från år 1905 är den nuvarande chefen för ecklesiastikdepartementet och han förmodligen i sin uppfattning af denna sak biträdes af regeringen i öfrigt samt han har bakom sig en mycket stark majoritet inom 1903 års kyrkomöte och därjämte alla domkapitlen i riket utom ett och nu för andra gången får Första Kammaren med sig denna gång troligen enhälligt i denna viktiga fråga, synes han kunna vara oförhindrad att när som helst tillsammans med justitieministern tillsätta en lagberedning för vår kyrkolags snara och grundliga revision.</w:t>
        <w:br/>
        <w:br/>
        <w:t>Sista gången saken var före i denna kammare, stodo fyra framstående talare emot förslaget. En af dem var den numera aflidne f. d. universitetskanslern Gilljam. Jag har sedermera flera gånger utbytt tankar med honom i frågan, och min öfvertygelse är att, om vi i dag hade förmånen höra hans röst, han skulle vara med oss. En annan mäktig talare mot motionen var ju herr landshöfding Sjöcrona, men han har i dag sagt, att frågan nu ligger annorlunda än då och att han därför i dag kommer att ändra sin röst. Herr biskop Billing stod också på motsidan, men redan hans frånvaro i dag vid frågans behandling synes vittna om, att den ej längre är för honom någon hufvudfråga, och att han står betydligt närmare en revision år 1908, än han gjorde år 1905. Och så hade han då vid sin sida i motståndet, fast af andra grunder, herr godsägaren von Möller. Jag konstaterar</w:t>
        <w:br/>
        <w:br/>
        <w:t>med glädje, att oppositionen är uppgifven i denna kammare och det är ganska naturligt, när man besinnar, att revisionsmotståndet nu djupast uppbäres af dem, som vilja, att hela statskyrkan skall med en föråldrad kyrkolag vissna bort.</w:t>
        <w:br/>
        <w:br/>
        <w:t>Nu stå de kyrkliga och särskildt de präster, hvilka äro arbetande inom församlingarna, de stå, säger jag, och känna, att det rör sig i tiden en mening och att det finnes dock starka skäl för den uppfattningen, för att icke säga den beskyllningen, att vår nuvarande statskyrka är till hela dess läggning, enligt 1686 års kyrkolag, långt mera en prästeller biskopskyrka än en verklig folkkyrka. Men så vilja vi icke hafva det; vi vilja hafva ej en prästkyrka utan en verklig folkoch församlingskyrka, där lekmannaelementet kan komma till sin rätt. A andra sidan stå de frikyrkliga och vilja räcka oss handen i syfte att genom den föreslagna revisionen få fram mera fria former för det kyrkliga lifvet än de nuvarande otidsenliga. Många krafter förena sig alltså här, hvilka äro intresserade för en verkligt sann och lefvande statskyrka, en statskyrka, som står i kontakt med tiden och har sina rötter djupt i svenska folket. Och är nu den uppfattningen vidt utbredd, att vår kyrka, för att kunna betraktas som en verklig folkkyrka, är i behof af en fullständig och grundlig revision af kyrkolagen med dithörande författningar, hvarför må vi då icke oförtöfvadt gripa oss an med en sådan? Man säger: »det är en omöjlig sak att komma till enighet redan ifråga om första paragrafen i kyrkolagen, hvarest det talas om svenska kyrkans lära». Men, mina herrar, det är visst icke omöjligt, ty strömningarna gå nu sådana, att den svenska kyrkans lära — för så vidt den skall definieras i en lagparagraf för en kyrka, som vill gälla för en olika folkklasser omfattande evangelisk luthersk folkkyrka — får ej betecknas med eller genom bekännelseparagrafer eller bekännelseformler utan blott genom den vidhjärtade hufvudsaken i dessas innehåll, i motsvarighet till vårt nuvarande prästlöfte och med den rättighet, som står hvar och en öppen att utträda ur statskyrkan, i enlighet med det fundamentalstadgande inom vårt samhällsskick som bjuder, att »ingens samvete tvinga eller tvinga låta».</w:t>
        <w:br/>
        <w:br/>
        <w:t>Man skyller också på att kyrkomötet visat sig så ogint, att man icke där lyckats vinna se här ens för en så obetydlig motion, som den hvilken framkommit i afseende å »begrafning i stillhet». Men det är ett fullständigt misstag, att kyrkomötet där begagnade sitt veto; kyrkomötet endast förbehöll sig rätten att få så formulera ritualen vid sådan begrafning, att denna ej blefve på något sätt en osanning. Och det är min fulla öfvertygelse att, om ock när denna fråga kommer fram från rätt håll, så att man vill fastslå allas likställighet inför döden i en gemensam skuldkänsla och bön om förlåtelse och i en gemensam tillflykt till den eviga barmhärtigheten, då skall kyrkomötet visst icke motsätta sig den önskan, att man ej ens i formen för begrafningen uttalar någon dom öfver den döde.</w:t>
        <w:br/>
        <w:br/>
        <w:t xml:space="preserve">Jag håller således före, att allt fog saknas för antagandet, att från kyrkomötets sida skulle kunna förväntas något motstånd till den ifrågasatta revisionen, ty kyrkans målsmän, mina herrar, känna och inse mera än andra, att, om den svenska statskyrkan längre skall ha någon uppgift att fylla, måste </w:t>
      </w:r>
      <w:r>
        <w:rPr>
          <w:b/>
        </w:rPr>
        <w:t>hon²</w:t>
      </w:r>
      <w:r>
        <w:rPr>
          <w:b w:val="0"/>
        </w:rPr>
        <w:t xml:space="preserve"> få sina rötter djupare fästade nere i vårt folks andliga lif och upphöra att stå kvar på den hierarkiska grund, där 1686 års kyrkolag ställt </w:t>
      </w:r>
      <w:r>
        <w:rPr>
          <w:b/>
        </w:rPr>
        <w:t>henne²</w:t>
      </w:r>
      <w:r>
        <w:rPr>
          <w:b w:val="0"/>
        </w:rPr>
        <w:t>, och att en revision här bör företagas, som går djupt ner, och tager afstånd äfven från den konsistoriella uppfattning och åskådning, för hvilken den nästföregående talaren varnade. Det är min bestämda öfvertygelse, att en sådan revision ej skall misslyckas och detta därför, att jag tror på vårt folk såsom i djupet ett starkt kyrkofolk och jag tror på människorna, jag tror, att de äro tillmötesgående och förstående, endast vi å vår sida söka förstå dem. När nu därför stora funktioner uppstått och från kyrkligt håll särskildt bland våra yngre prästmän och lekmän ja bland — jag vågar säga — flertalet af församlingarnas medlemmar, och stora fraktioner från frikyrkligt håll räcka ut händerna åt de förra, och omkring alla dessa stå sådana, som betrakta denna sak mera ur rent statspolitisk synpunkt och som känna med sig, att vi behöfva en kyrka, som förmår på ett välsignelsebringande sätt gripa in i vårt folks sedliga och religiösa uppfostran, må vi då akta oss att lyssna till den socialistiska parolen: »bort med statskyrkan, må den förtvina och vissna bort, och det sker bäst i sällskap med en föråldrad kyrkolag». Må vi i stället söka att sammanföra och ena alla goda och ärliga krafter till en verklig och ingående omarbetning af denna kyrkolag. Och om vi allvarligt gripa oss an härmed och komma med ett revisionsförslag, framgånget ur kontakt med tidens storslagna folkkyrkoidéer och folkkyrkorörelser sådana som den inre och yttre missionen, diakonien, nykterhetsarbetet, folkundervisningen, ungdomsverksamheten, församlingsråd och församlingssynoder m. m., så är jag öfvertygad om, att motståndet mot denna revision hos den stora verkligt fosterländska majoriteten inom Andra Kammaren, och motståndet äfven hos sådana representanter för olika meningar som herrar Billing och v. Möller i Första Kammaren skall förbytas i sympati för förslaget.</w:t>
        <w:br/>
        <w:br/>
        <w:t>Jag anhåller att på grund af hvad jag nu haft äran anföra få yrka bifall till reservationen.</w:t>
      </w:r>
    </w:p>
    <w:p>
      <w:pPr>
        <w:pStyle w:val="Heading2"/>
      </w:pPr>
      <w:r>
        <w:t>2. Karl Ekman (Första kammarens protektionistiska parti, man)</w:t>
      </w:r>
    </w:p>
    <w:p>
      <w:r>
        <w:rPr>
          <w:b w:val="0"/>
        </w:rPr>
        <w:t>Jag behöfver ej tillägga många ord utöfver hvad redan blifvit yttradt till förmån för motionen.</w:t>
        <w:br/>
        <w:br/>
        <w:t>Frågan om en fullständig revision af kyrkolagen är icke ny. Af särskilda kommittéer utarbetade förslag till en sådan revision hafva upprepade gånger framlagts. Alla dessa försök hafva misslyckats. Att det oaktadt frågan om en fullständig revision gång på gång återkommer, visar, att man har en känsla af att 1686 års</w:t>
        <w:br/>
        <w:br/>
        <w:t>kyrkolag icke kan på de partiella reformernas väg omskapas till</w:t>
        <w:br/>
        <w:br/>
        <w:t>De skatter vi äga i vår svenska evangelisk-lutherska kyrka,</w:t>
        <w:br/>
        <w:br/>
        <w:t xml:space="preserve">författningar. sfyen i </w:t>
      </w:r>
      <w:r>
        <w:rPr>
          <w:b/>
        </w:rPr>
        <w:t>hennes²</w:t>
      </w:r>
      <w:r>
        <w:rPr>
          <w:b w:val="0"/>
        </w:rPr>
        <w:t xml:space="preserve"> nuvarande ganska bristfälliga yttre gestalt, kunna</w:t>
        <w:br/>
        <w:br/>
        <w:t xml:space="preserve">icke nog värderas. Där ljuder ännu ett fulltonigt evangelium och därifrån utgå sedligtreligiösa krafter, hvilka genomströmma hela folket och utgöra nationens bärande kraft. Intet frikyrkosamfund förmår så som statskyrkan omfatta allt och alla. Men, om statskyrkan rätt skall kunna fylla denna sin omfattande uppgift, får </w:t>
      </w:r>
      <w:r>
        <w:rPr>
          <w:b/>
        </w:rPr>
        <w:t>hon²</w:t>
      </w:r>
      <w:r>
        <w:rPr>
          <w:b w:val="0"/>
        </w:rPr>
        <w:t xml:space="preserve"> ej stå främmande för tiden, utan måste anpassa sig efter tidens särskilda behof. Men härför kräfves enligt mitt förmenande något mera än partiella reformer. Ty då det gäller att taga ett stort och afgörande steg framåt, måste allt pröfvas i ett sammanhang, så att grunden blir fast och byggnaden helgjuten.</w:t>
        <w:br/>
        <w:br/>
        <w:t>Det är därför jag anser, att man här icke bör nöja sig med partiella reformer, utan beslutsamt gripa sig an med en fullständig revision.</w:t>
        <w:br/>
        <w:br/>
        <w:t>De, som få i uppdrag att utföra denna, kunna ju då mycket väl framställa sina förslag successivt. Det viktigaste är dock, att själfva grunden blir föremål för en enhetlig och ingående behandling. Det är därför, herr talman, jag nu anhåller att få yrka bifall till min motion och därmed också till den vid utskottets utlåtande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