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89</w:t>
      </w:r>
    </w:p>
    <w:p>
      <w:r>
        <w:rPr>
          <w:b/>
        </w:rPr>
        <w:t xml:space="preserve">Datum: </w:t>
      </w:r>
      <w:r>
        <w:t>1908-02-27</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Klas Hugo Bergendahl (Första kammarens nationella parti, man)</w:t>
      </w:r>
    </w:p>
    <w:p>
      <w:r>
        <w:rPr>
          <w:b w:val="0"/>
        </w:rPr>
        <w:t xml:space="preserve">Utskottet har i sitt betänkande erinrat, att Riksdagen i skrifvelse till Kungl. Maj:t år 1903 begärt revision af lagstiftningen rörande den gifta </w:t>
      </w:r>
      <w:r>
        <w:rPr>
          <w:b/>
        </w:rPr>
        <w:t>kvinnans¹</w:t>
      </w:r>
      <w:r>
        <w:rPr>
          <w:b w:val="0"/>
        </w:rPr>
        <w:t xml:space="preserve"> rättsliga ställning och därvid äfven berört den fråga, som blifvit i denna motion upptagen. Då detta varit anledningen till, att utskottet afstyrkt den gjorda framställningen, vågar jag väl knappast göra ett yrkande i strid mot utskottets hemställan, men jag ber att med några ord få ställa frågan i något bjärtare belysning, än den erhållit i utskottets utlåtande. |</w:t>
        <w:br/>
        <w:br/>
        <w:t>Jag hade trott, att den jämförelsevis lilla lagändring, som här blifvit ifrågasatt, skulle kunna vidtagas utan afbidan på den mera omfattande revisionen. Jag anser nämligen, att här råder ett missförhållande, som bör rättas, och jag skall be att med exempel ur lefvande lifvet få påvisa tillvaron af ett sådant missförhållande.</w:t>
        <w:br/>
        <w:br/>
        <w:t xml:space="preserve">Såsom af betänkandet framgår, gäller nu det stadgandet, att gift </w:t>
      </w:r>
      <w:r>
        <w:rPr>
          <w:b/>
        </w:rPr>
        <w:t>kvinna¹</w:t>
      </w:r>
      <w:r>
        <w:rPr>
          <w:b w:val="0"/>
        </w:rPr>
        <w:t>, som sammanlefver med mannen, må idka handel eller annat näringsyrke, under förutsättning att mannen därtill gifver sitt samtycke och ansvarar för de förbindelser, som i och för rörelsen ingås. Detta stadgande är hämtadt från äldre författningar, nämligen handels-,</w:t>
        <w:br/>
        <w:br/>
        <w:t xml:space="preserve">fabriksoch handtverksordningarna af år 1846. Men äfven före den Ifrågasatt tiden var det brukligt, att gift </w:t>
      </w:r>
      <w:r>
        <w:rPr>
          <w:b/>
        </w:rPr>
        <w:t>kvinna¹</w:t>
      </w:r>
      <w:r>
        <w:rPr>
          <w:b w:val="0"/>
        </w:rPr>
        <w:t xml:space="preserve"> dref något särskildt närings- Pefogenhet yrke, och af en förordning från år 1798 framgår, att därför fordrats fo att ett särskildt samtycke, icke af mannen, men väl af myndighet. Det utan mannens är till denna äldre lagbestämmelse som jag velat för visst fall återföra samtycke det nuvarande stadgandet. - GR Det har synts mig, att det icke är alldeles följdriktigt af lag- Rea e stiftningen att medgifva den gifta </w:t>
      </w:r>
      <w:r>
        <w:rPr>
          <w:b/>
        </w:rPr>
        <w:t>kvinnan¹</w:t>
      </w:r>
      <w:r>
        <w:rPr>
          <w:b w:val="0"/>
        </w:rPr>
        <w:t xml:space="preserve"> rätt att utan mannens = Worts) samtycke fritt disponera öfver viss egendom, men däremot icke tillåta </w:t>
      </w:r>
      <w:r>
        <w:rPr>
          <w:b/>
        </w:rPr>
        <w:t>henne²</w:t>
      </w:r>
      <w:r>
        <w:rPr>
          <w:b w:val="0"/>
        </w:rPr>
        <w:t xml:space="preserve"> att använda denna egendom just för det ändamål, som </w:t>
      </w:r>
      <w:r>
        <w:rPr>
          <w:b/>
        </w:rPr>
        <w:t>hon²</w:t>
      </w:r>
      <w:r>
        <w:rPr>
          <w:b w:val="0"/>
        </w:rPr>
        <w:t xml:space="preserve"> anser lämpligast, nämligen för att insätta den i en rörelse, som </w:t>
      </w:r>
      <w:r>
        <w:rPr>
          <w:b/>
        </w:rPr>
        <w:t>hon²</w:t>
      </w:r>
      <w:r>
        <w:rPr>
          <w:b w:val="0"/>
        </w:rPr>
        <w:t xml:space="preserve"> själf vill bedrifva. </w:t>
      </w:r>
      <w:r>
        <w:rPr>
          <w:b/>
        </w:rPr>
        <w:t>Hon²</w:t>
      </w:r>
      <w:r>
        <w:rPr>
          <w:b w:val="0"/>
        </w:rPr>
        <w:t xml:space="preserve"> har kanhända Just det rörelsekapital, som erfordras, </w:t>
      </w:r>
      <w:r>
        <w:rPr>
          <w:b/>
        </w:rPr>
        <w:t>hon²</w:t>
      </w:r>
      <w:r>
        <w:rPr>
          <w:b w:val="0"/>
        </w:rPr>
        <w:t xml:space="preserve"> har den egendom, som kan för rörelsen behöfvas, men </w:t>
      </w:r>
      <w:r>
        <w:rPr>
          <w:b/>
        </w:rPr>
        <w:t>hon²</w:t>
      </w:r>
      <w:r>
        <w:rPr>
          <w:b w:val="0"/>
        </w:rPr>
        <w:t xml:space="preserve"> får icke använda denna egendom för ifrågavarande ändamål utan mannens samtycke. Jag skulle icke hafva besvärat Riksdagen med denna fråga, om jag icke ställts inför några fall, som på mig verkat mycket upprörande och som gjort, att jag ansett det vara min plikt att bringa frågan på tal under hopp om en snar lagändring. Det var en ännu ogift </w:t>
      </w:r>
      <w:r>
        <w:rPr>
          <w:b/>
        </w:rPr>
        <w:t>kvinna¹</w:t>
      </w:r>
      <w:r>
        <w:rPr>
          <w:b w:val="0"/>
        </w:rPr>
        <w:t xml:space="preserve">, som dref en rätt omfattande och ganska gifvande rörelse, nämligen konditorioch bagerirörelse. Så skulle </w:t>
      </w:r>
      <w:r>
        <w:rPr>
          <w:b/>
        </w:rPr>
        <w:t>hon²</w:t>
      </w:r>
      <w:r>
        <w:rPr>
          <w:b w:val="0"/>
        </w:rPr>
        <w:t xml:space="preserve"> gifta sig, och det var öfverenskommet mellan de båda blifvande makarna, att denna rörelse skulle fortsättas. Det skedde också och rörelsen fortgick under någon tid efter äktenskapets ingående utan störande afbrott, men omsider uppstodo vissa misshälligheter inom familjen, och mannen hotade med att återkalla det samtycke, han gifvit, och den borgen, som han låtit ställa för att hans </w:t>
      </w:r>
      <w:r>
        <w:rPr>
          <w:b/>
        </w:rPr>
        <w:t>hustru²</w:t>
      </w:r>
      <w:r>
        <w:rPr>
          <w:b w:val="0"/>
        </w:rPr>
        <w:t xml:space="preserve"> skulle få fortsätta rörelsen. För att förmå mannen att afstå därifrån måste </w:t>
      </w:r>
      <w:r>
        <w:rPr>
          <w:b/>
        </w:rPr>
        <w:t>hustrun²</w:t>
      </w:r>
      <w:r>
        <w:rPr>
          <w:b w:val="0"/>
        </w:rPr>
        <w:t xml:space="preserve"> göra en del eftergifter, som voro för familjens ekonomi mycket skadliga. Så gick det någon tid på eftergifternas väg, men en dag återkallade mannen helt och hållet sitt samtycke och sin borgen, och </w:t>
      </w:r>
      <w:r>
        <w:rPr>
          <w:b/>
        </w:rPr>
        <w:t>hustrun²</w:t>
      </w:r>
      <w:r>
        <w:rPr>
          <w:b w:val="0"/>
        </w:rPr>
        <w:t xml:space="preserve"> var därigenom lagligen urståndsatt att fortsätta den rörelse, som </w:t>
      </w:r>
      <w:r>
        <w:rPr>
          <w:b/>
        </w:rPr>
        <w:t>hon²</w:t>
      </w:r>
      <w:r>
        <w:rPr>
          <w:b w:val="0"/>
        </w:rPr>
        <w:t xml:space="preserve"> drifvit under lång tid samt hvarmed </w:t>
      </w:r>
      <w:r>
        <w:rPr>
          <w:b/>
        </w:rPr>
        <w:t>hon²</w:t>
      </w:r>
      <w:r>
        <w:rPr>
          <w:b w:val="0"/>
        </w:rPr>
        <w:t xml:space="preserve"> hade funnit sig mycket tillfreds och hvilken tillika för familjen varit mycket gynnsam. Det är ju icke underligt, att </w:t>
      </w:r>
      <w:r>
        <w:rPr>
          <w:b/>
        </w:rPr>
        <w:t>hon²</w:t>
      </w:r>
      <w:r>
        <w:rPr>
          <w:b w:val="0"/>
        </w:rPr>
        <w:t xml:space="preserve"> kände sig synnerligen upprörd af detta förhållande och att </w:t>
      </w:r>
      <w:r>
        <w:rPr>
          <w:b/>
        </w:rPr>
        <w:t>hon²</w:t>
      </w:r>
      <w:r>
        <w:rPr>
          <w:b w:val="0"/>
        </w:rPr>
        <w:t xml:space="preserve"> icke kurde förstå, att lagen skulle lägga hinder i vägen för </w:t>
      </w:r>
      <w:r>
        <w:rPr>
          <w:b/>
        </w:rPr>
        <w:t>henne²</w:t>
      </w:r>
      <w:r>
        <w:rPr>
          <w:b w:val="0"/>
        </w:rPr>
        <w:t xml:space="preserve"> att drifva en näring, som </w:t>
      </w:r>
      <w:r>
        <w:rPr>
          <w:b/>
        </w:rPr>
        <w:t>hon²</w:t>
      </w:r>
      <w:r>
        <w:rPr>
          <w:b w:val="0"/>
        </w:rPr>
        <w:t xml:space="preserve"> under så många år visat sig vara fullt vuxen att sköta. Jag har alltid tyckt, att lagstiftningen i detta fall har företett bilden af en person, som räcker fram sin hand för att gifva något, men när man kommer för att taga hvad den handen har att bjuda, så äro fingrarna tillslutna och man får icke mycket af den gåfva som lockade. Jag tror, att en snar lagändring i förevarande afseende är påkallad, men då emellertid lagutskottet ansett, att denna fråga snart skall blifva föremål för Kungl. Maj:ts uppmärksamhet, så vill jag, herr grefve och talman, icke göra något särskildt yrkande.</w:t>
      </w:r>
    </w:p>
    <w:p>
      <w:pPr>
        <w:pStyle w:val="Heading2"/>
      </w:pPr>
      <w:r>
        <w:t>2. Ernst Trygger (Första kammarens nationella parti, man)</w:t>
      </w:r>
    </w:p>
    <w:p>
      <w:r>
        <w:rPr>
          <w:b w:val="0"/>
        </w:rPr>
        <w:t>Då den ärade motionären icke har gjort något särskildt yrkande, skulle jag icke hafva behöft yttra mig, därest man</w:t>
        <w:br/>
        <w:br/>
        <w:t>icke af hans framställning kunnat få det intrycket, att utskottet ej ställt sig välvilligt till motionen. Utskottet har åberopat, att det tarfvas flera lagändringar för att</w:t>
        <w:br/>
        <w:br/>
        <w:t>utan mannens genomföra den tanke, som motionären här har framställt, och att</w:t>
        <w:br/>
        <w:br/>
        <w:t>samtycke drifva närinssyrke. (Forts.)</w:t>
        <w:br/>
        <w:br/>
        <w:t xml:space="preserve">frågan ligger under utredning. Detta har för utskottet varit tillräckliga skäl att afstyrka motionen. Att utskottet icke har ställt sig afvisande mot de förslag af motionären, hvilka gå ut på att förbättra den gifta </w:t>
      </w:r>
      <w:r>
        <w:rPr>
          <w:b/>
        </w:rPr>
        <w:t>kvinnans¹</w:t>
      </w:r>
      <w:r>
        <w:rPr>
          <w:b w:val="0"/>
        </w:rPr>
        <w:t xml:space="preserve"> ställning, ser man däraf, att ehuru utskottet kunnat åberopa samma formella skäl med afseende å den i föregående betänkande behandlade motionen; så har utskottet icke gjort detta, utan tillstyrkt densamma. I det fallet kräfves det nämligen endast en enkel lagändring, som kan göras när som helst.</w:t>
      </w:r>
    </w:p>
    <w:p>
      <w:pPr>
        <w:pStyle w:val="Heading2"/>
      </w:pPr>
      <w:r>
        <w:t>3. Cornelius Sjöcrona (Första kammarens protektionistiska parti, man)</w:t>
      </w:r>
    </w:p>
    <w:p>
      <w:r>
        <w:rPr>
          <w:b w:val="0"/>
        </w:rPr>
        <w:t>Jag skänker mitt fulla erkännande åt det varma Ifrigasatt</w:t>
        <w:br/>
        <w:br/>
        <w:t>intresse och det arbete, som motionären nedlagt på åstadkommande af povision af utredning i denna mycket viktiga angelägenhet. Jag är också med fosterbarns motionären och lagutskottet fullt ense däri, att lagen af den 6 juni ” vård. 1902 om fosterbarns vård hittills icke vunnit den vidsträckta tillämp- — (Forts.) ning, som varit önsklig, hvaraf följden också blifvit, att verkningarna af denna lag heller icke utfallit så, som man kunde hafva önskat. Och jag är med motionären och utskottet också fullt ense däri, att man bör göra allt hvad man rimligen kan för att vinna det behjärtansvärda mål, som åsyftas med denna lag. Men jag är ändå mycket tveksam, huruvida det må vara rätt och skäligt, att Riksdagen nu skulle öka antalet af de många hos regeringen hvilande skrifvelserna med ytterligare en och däri begära en fullständig omarbetning på alldeles nya grunder utaf en lag, som icke kunnat tillämpas mera än 5 år. Jag säger med flit icke kunnat tillämpas i stället för icke varit tillämpad, ty denna lag har naturligtvis kunnat tillämpas från den 1 januari 1903, då densamma trädde i kraft, men visst är, att den icke varit i tillämpning under denna tid, ja, att den ännu icke kan sägas vara i full tillämpning. Sådant kan icke ske med en sådan lag som denna, förrän densamma, så att säga, till sitt innehåll inträngt i folkmedvetandet. Och vi kunna väl alla vara ganska ense därom, att kanske flertalet af vårt lands hela befolkning i denna stund icke ens vet, att här finnes någon lag angående fosterbarns vård, än mindre hvad densamma innehåller.</w:t>
        <w:br/>
        <w:br/>
        <w:t>Hvad hälsovårdsnämndens ledamöter angår, hafva de visserligen, om de händelsevis varit närvarande i kyrkan, då det tillkännagafs, att en sådan lag var utfärdad, fått veta, att det finnes en lag om fosterbarns vård, men icke heller mera. De hafva icke där hört talas om att denna lag innehåller föreskrifter för hälsovårdsnämnderna att öfvervaka lagens tillämpning. Och jag vågar tro, att kammarens ledamöter gjort samma erfarenhet som jag, att hälsovårdsnämndernas medlemmar ingalunda, efter det de hört ett sådant tillkännagifvande i kyrkan, sätta sig ned i kyrkans arkiv eller låna hem Svensk författningssamling för att noga studera de lagar, som omförmälas från predikstolen. Kännedom om sådana lagar vinnes genom muntliga meddelanden, genom upplysningar i tidningarna och genom de lageditioner, som vi hafva till vår disposition och som, i parentes sagdt, äro ganska dyra. Jag tror icke, att alla ledamöter af hälsovårdsnämnd hålla sig med lagböcker, och de som göra det köpa säkerligen icke nya sådana hvart år, icke ens hvartannat eller hvart tredje år. Om man nu kan vara af olika meningar rörande beviskraften hos de yttranden af åtskilliga läkare, som motionären åberopat, så är det åtminstone ett förhållande, som framgår af dessa yttranden såsom alldeles obestridligt riktigt, och detta är, att ännu i vårt land mångenstädes råder fullständig okunnighet om hvad denna lag innehåller och att hälsovårdsnämderna i betänklig mån försumma att fullgöra de skyldigheter, som denna lag ålägger dem, vare sig det nu sker till följd af obekantskap med lagens innehåll eller af likgiltighet för uppfyllandet af dess förpliktelser. Nu är det ju visserligen så, att enhvar i vårt land är skyldig att känna till de lagar och författningar, som äro utfärdade, och är underkastad det ansvar eller den påföljd, som</w:t>
        <w:br/>
        <w:br/>
        <w:t>hvarje lag stadgar, om man icke ställer sig den till efterrättelse. Men däraf kan naturligtvis icke följa, att, då man skall fälla ett omdöme om lämpligheten hos en lags bestämmelser, man får uttala en förkastelsedom öfver dessa bestämmelser, därför att de icke varit tillämpade. Bestämmelserna kunna ju vara fullt lämpliga, fastän de icke tillämpats.</w:t>
        <w:br/>
        <w:br/>
        <w:t>Hvad nu bestämmelserna i denna lag angår, så bör man vid stiftande af sådan lag och alla därmed jämförliga noga hafva för ögonen den gamla satsen, att »det bästa kan vara fiende till det goda», och väl se till, att man icke ställer anspråken så högt, att man snarare stjälper än hjälper och att fosterbarnsvården kanske helt och hållet uteblir i många fall, där sådan vård just skulle vara af omständigheterna synnerligen väl påkallad.</w:t>
        <w:br/>
        <w:br/>
        <w:t>Nu säger utskottet, att den ingående utredning motionären förebragt enligt utskottets mening lämnar bevis för att ifrågavarande lag lider af brister, som kommit den att i väsentlig mån förfela sitt ändamål, och att således förändringar i densamma äro af behofvet påkallade. Jag kan för min del icke instämma i detta. De många yttrandena af läkare innehålla deras från läkaresynpunkt gällande uppfattning om hvad de anse skulle vara det bästa och lämpligaste i fråga om lagbestämmelser i detta ämne, och det är klart att från läkaresynpunkt vill man naturligtvis gärna framställa högre anspråk, än hvad man från lämplighetssynpunkt anser sig kunna göra, af skäl jag redan förut antydt.</w:t>
        <w:br/>
        <w:br/>
        <w:t>Den kommitté som afgaf förslag till denna lag hade föreslagit koncessionstvång, men på grund af framställda erinringar i de af ämbetsmyndigheterna afgifna utlåtandena och på skäl, som dåvarande civilministern anförde och hvilka finnas återgifna i utskottets betänkande och motionen, ansåg man klokast att stanna vid anmälningsplikt, skyldighet för enhvar som tog emot fosterbarn under sådana förhållanden, som lagen omförmäler, att i stad inom tre och på landet inom fjorton dagar därom göra anmälan, så att hälsovårdsnämnden kunde blifva i tillfälle bedöma om uppfostraren vore lämplig, om lokalen vore lämplig och i öfrigt öfvervaka, att allt skedde i rätt ordning.</w:t>
        <w:br/>
        <w:br/>
        <w:t>Nu säger motionären och utskottet, att denna anmälningsplikt visat sig vara ett alltför svagt verkande medel ur kontrollsynpunkt. Jag vågar säga, att hvarken motionären eller utskottet eller Riksdagen kan uttala något bestämdt omdöme härom, ty lagen har icke varit allmänt tillämpad af skäl jag redan antydt och man kan ju icke fälla omdöme om en bestämmelse, förrän man varit i tillfälle att se hur den verkar.</w:t>
        <w:br/>
        <w:br/>
        <w:t>Det har anmärkts att med denna anmälningsplikt skulle ett barn kunna under de fjorton dagar som passera mellan mottagandet och anmälningen blifva utsatt för vanvård. Teoretiskt kan man icke förneka riktigheten af detta, men alla dessa olika uttalanden innehålla icke ett enda exempel på att så varit förhållandet. Nu tro utskottet och motionären, att detta skulle kunna helt och hållet afhjälpas om man blott finge koncessionstvång, men det blir alldeles samma förhållande med detta som med anmälningsplikten. Om den som vill taga ett fosterbarn icke bryr sig om att söka tillstånd att upptaga barnet till fostran och hälsovårdsnämnden icke bryr sig om att taga reda på att så sker</w:t>
        <w:br/>
        <w:br/>
        <w:t>inträder alldeles samma förhållande som med anmälningsplikten. Den blir utan verkan.</w:t>
        <w:br/>
        <w:br/>
        <w:t>Sedan är det en annan grundsats, om hvilken kommittén, Kungl. Maj:t och Riksdagen varit fullständigt eniga, och det är, att denna lag icke skall äga tillämpning i andra fall än när det betingas ersättning för att man tar emot barn till uppfostran. Jag menar, att man nog i vårt land icke skulle känna sig tilltalad af en lag, som föreskrefve, att man icke får af barmhärtighet taga ett barn till fostran, huru lämplig man därtill än må vara, förrän man fått tillstånd att utöfva sådan verksamhet. Likaledes hvilar den gällande lagen på den grundsatsen, att den icke bör äga tillämpning på styfföräldrar, farföräldrar, morföräldrar och förmyndare, och det är lätt att inse anledningen till detta. Jag tror icke heller, att det skulle anses lämpligt att i vårt land föreskrifva sådan skyldighet för dessa personer. Nu vill emellertid utskottet helt och hållet kasta öfver bord dessa grundsatser, på hvilka den för sex år sedan antagna lagen helt och hållet hvilar.</w:t>
        <w:br/>
        <w:br/>
        <w:t>Sedan säger utskottet på slutet, att, såsom motionären jämväl ifrågasatt, det bör vid en eventuell omarbetning af ifrågavarande lag undersökas, huruvida hälsovårdsoch kommunalnämnderna med sina många göromål af olika slag verkligen äro skickade att handhafva öfvervakandet öfver fosterbarnens vård, samt hvilka kontrollföreskrifter i allmänhet, som kunna för lagens efterlefnad anses erforderliga.</w:t>
        <w:br/>
        <w:br/>
        <w:t xml:space="preserve">Jag kan ju i viss mån instämma med utskottet däri, att, såsom jag redan antydt, hälsovårdsnämnderna hittills icke hafva skött sig så väl, som man kunnat önska, men det har nog i många fall berott därpå, att de icke haft kunskap om lagen, och för öfrigt vill jag nämna, att det finns mångfaldiga kommuner i vårt land, där fosterbarnsvård icke förekommer, och då är det ju helt naturligt, att förste provinsialläkarne icke kunna få några uppgifter från dessa kommuner «Därför kan det också mycket lätt förklaras, att exempelvis förste provinsialläkaren i Skaraborgs län det ena året efter det andra i sin berättelse sagt, att han angående späda barns vård icke har några uppgifter eller högst få att lämna. Det har icke varit något särskildt att anmärka. Men i öfrigt vågar jag hålla före, att, om hälsovårdsnämnderna begagnade sig af den utväg som lagen anvisar, nämligen att använda manliga och </w:t>
      </w:r>
      <w:r>
        <w:rPr>
          <w:b/>
        </w:rPr>
        <w:t>kvinnliga¹</w:t>
      </w:r>
      <w:r>
        <w:rPr>
          <w:b w:val="0"/>
        </w:rPr>
        <w:t xml:space="preserve"> biträden, skulle de mycket väl kunna gå i land med lösandet af den uppgift, som blifvit dem förelagd. Det inhämtas också af dessa läkareyttranden, att i de fall, där det visar sig att något blifvit gjordt, har detta berott på att man anlitat sådana biträden.</w:t>
        <w:br/>
        <w:br/>
        <w:t>Jag skulle för min del tro, att man kunde vinna icke så litet, om ifrån civildepartementet utfärdades ett cirkulär till länsstyrelserna med anmodan att på lämpligt sätt erinra hälsovårdsnämnderna och kommunalnämnderna inom länen om innehållet af denna lag och nödvändigheten att verkligen ställa sig densamma till efterrättelse, och om tillika länsmännen finge befallning att under sina tjänsteresor undersöka, huruvida barn fostrades, som icke blifvit vederbörligen anmälda, eller fostrades på ett sätt, som icke kunde godkännas. Så har man gjort i flera län, bland annat i det, där jag varit styresman, i fråga om besörjandet af fattigvård, och man har anledning att vänta sig icke så dåligt resultat af detta förfarande. Skall man emellertid vidtaga åtgärder för</w:t>
        <w:br/>
        <w:br/>
        <w:t>åstadkommande af bättre kontroll, är detta en fråga för sig, men icke bör man sammanbinda den med en total omarbetning af en lag, som ännu knappt är tillräckligt känd i vårt land. Om emellertid en sådan utväg, som jag antydt, skulle kunna anlitas, tror jag, att vi åtminstone ännu så länge kunna vänta med att skrifva äfven om förändrade kontrollföreskrifter.</w:t>
        <w:br/>
        <w:br/>
        <w:t>Jag har ansett det vara min skyldighet att fästa kammarens uppmärksamhet på dessa förhållanden. Det är sannerligen icke lyckligt ställdt i ett land, om man år efter år skall förnöta tid och krafter på att oupphörligt ändra bestående lagar, till och med sådana, som icke varit gällande mer än ett fåtal år. Det är bättre om man söker se till, att lagarne efterlefvas än att oupphörligt ändra dem. För att sätta kammaren i tillfälle att nu uttala sin åsikt om detta, tillåter jag mig yrka afslag å utskottets betänkande.</w:t>
      </w:r>
    </w:p>
    <w:p>
      <w:pPr>
        <w:pStyle w:val="Heading2"/>
      </w:pPr>
      <w:r>
        <w:t>4. Ernst Trygger (Första kammarens nationella parti, man)</w:t>
      </w:r>
    </w:p>
    <w:p>
      <w:r>
        <w:rPr>
          <w:b w:val="0"/>
        </w:rPr>
        <w:t>Herr talman! Mina herrar! Sällan torde en motionär hafva framlagt en så grundlig utredning som den, hvilken har kommit det ärende till del som här föreligger. Det är därigenom, såvidt jag förstår, och såvidt utskottet förstår, ty utskottet har varit enhälligt, till evidens ådagalagdt, att den nu gällande lagen om fosterbarns vård icke fyller sitt ändamål. Och vi böra komma ihåg hvilket viktigt samhällsintresse denna lag afser att tillvarataga. Det gäller så att säga samhällets egna barn, ty dessa små stackare hafva icke föräldrar, som taga vård om dem.</w:t>
        <w:br/>
        <w:br/>
        <w:t>Den siste ärade talaren gjorde gällande, att man icke borde ändra en lag som icke var äldre än sedan 1902, och jag ger honom i viss mån rätt däri. Man bör i regel vara synnerligen försiktig, så att man icke ändrar en lag innan det är nödvändigt, och man behöfver ju erfarenhet om huru lagen verkar. |</w:t>
        <w:br/>
        <w:br/>
        <w:t>Talaren åberopade ock, att de myndigheter, som skulle tillämpa ifrågavarande lag, ännu icke kände till den eller sannolikt ännu icke kände till den. Mina herrar, man kan icke finna någon starkare kritik på lagens nuvarande bestämmelser angående de myndigheter som hafva med lagen att göra än att man, fem år sedan den trädt i kraft, kan säga, att de icke hafva reda på dess innehåll. Utskottet har också ifrågasatt, om man icke borde öfverlämna uppsigten öfver fosterbarnen åt andra myndigheter. Men, mina herrar, jag tror nog den siste ärade talaren gick väl långt i sin misstro till myndigheternas kännedom om lagen, ty så mycket vet jag, att redan 1902 på hösten lagen tillsändes samtliga hälsovårdsnämnder och kommunalnämnder i riket, hvarigenom de utan tvifvel fingo anledning att taga reda på lagens innehåll. Det synes mig därför, som om man skulle kunna utgå ifrån, att myndigheterna hafva, så godt de kunnat och förstått, tillämpat lagen. Men då visar sig betydelsen af motionärens utredning, som ger vid handen, att tillämpningen icke ledt till något tillfredsställande resultat, utan att de stackars barnen misshandlas fortfarande och vanvårdas på samma sätt som före lagens tillkomst. Anmälningsplikten är icke så effektiv som koncessionstvånget. Vid anmälningsplikt är det så, att hvar och en har rättighet att taga ett barn, men skall anmäla det för myndigheterna, och först i fall myndigheterna få anledning antaga, att barnet vanvårdas, kunna de gripa in. Vid koncessionstvång pröfvas redan på</w:t>
        <w:br/>
        <w:br/>
        <w:t>förhand hvilka som böra få taga emot barn. Då koncessionstvång föreligger, men någon har fosterbarn utan att ha fått tillåtelse, är detta tillräcklig anledning för myndighetens ingripande. Det ligger isakens natur, att det skall vara mycket större garanti för barnen vid koncesa Ng än vid anmälningsplikt, och erfarenheten har ock visat etta.</w:t>
        <w:br/>
        <w:br/>
        <w:t>Sedan har utskottet ifrågasatt åtskilliga förändringar i öfrigt i lagen, som naturligtvis icke afse att vara bindande, utan endast äro uttryck för utskottets egen uppfattning.</w:t>
        <w:br/>
        <w:br/>
        <w:t>Utskottet har icke kunnat finna, att vi äro försvarade med att låta barn, som utan ersättning emottagas, vanvårdas och misshandlas, utan det bör gälla samma stadganden, vare sig barnen emottagas mot eller utan ersättning.</w:t>
        <w:br/>
        <w:br/>
        <w:t>Vidare har utskottet funnit den nuvarande åldersgränsen, 7 år, olämplig. Är barnet öfver 7 år, är den, som har det i sin vård, icke för närvarande underkastad lagen, och dock kunna vi icke öppna en tidning utan att se de mest upprörande fall af vanvård på barn äldre än 7 år. Det går icke an att sätta gränsen så lågt.</w:t>
        <w:br/>
        <w:br/>
        <w:t>Mina herrar, det vore beklagligt om formella betänkligheter skulle hindra det snara realiserandet af den tanke, som ligger till grund för denna lag om fosterbarns vård, och då motionären visat, att den nuvarande lagen alldeles icke fyller sin uppgift, böra vi, fastän den icke är gammal, gå i författning om dess ändring så fort som möjligt.</w:t>
        <w:br/>
        <w:br/>
        <w:t>Jag tror icke, att den siste ärade talarens farhåga, att Kungl. Maj:t skall blifva öfver höfvan ansträngd genom en dylik skrifvelse, är berättigad. Erfarenheten har ju visat, att Kungl. Maj:t med stor glädje upptager hvarje möjlighet att utreda och framlägga för Riksdagen samhällsnyttiga förslag. Det enda klander man hört uttalas är, att denna benägenhet kanske understundom varit alltför stor för att medgifva en verkligt grundlig utredning.</w:t>
        <w:br/>
        <w:br/>
        <w:t>Jag yrkar bifall till utskottets betänkande.</w:t>
      </w:r>
    </w:p>
    <w:p>
      <w:pPr>
        <w:pStyle w:val="Heading2"/>
      </w:pPr>
      <w:r>
        <w:t>5. Gustaf Hellman (Lantmannapartiet, man)</w:t>
      </w:r>
    </w:p>
    <w:p>
      <w:r>
        <w:rPr>
          <w:b w:val="0"/>
        </w:rPr>
        <w:t>Jag ber att på det varmaste få instämma med lagutskottets ärade ordförande. Det har sagts af herr Sjöcrona, att lagen icke varit tillräckligt länge i kraft för att man skall kunna påvisa, hur den verkar. Men i Stockholm hafva vi dock tillräcklig erfarenhet om bristerna i densamma. Samtidigt med att denna lag trädde i kraft den 1 januari 1903 trädde ock i kraft lagen angående uppfostran åt vanartade och i sedligt afseende försummade barn. Jag har under de fem år jag varit ledamot och ordförande i Stockholms barnavårdsnämnd kommit i rikt tillfälle att se huru denna lag verkar, just därigenom att barnavårdsnämnden har åt sig förlänad rättigheten</w:t>
        <w:br/>
        <w:br/>
        <w:t>att icke utackordera något barn utan att ålägga koncessionstvång, så -</w:t>
        <w:br/>
        <w:br/>
        <w:t>att hemmet på det noggrannaste undersökes, innan man släpper dit barnet. Under dessa fem år har barnavårdsnämnden tagit hand om öfver 700 barn från Stockholm, och jag har icke hört någon olägenhet, utan tvärtom mycket stor fördel af att icke anlita ett enda hem utan att detsamma först noga undersökts. Där tillämpas koncessionstvånget med fördel. På samma sätt har långt förut detta koncessionstvång tillämpats på alla barn, som utackorderas genom Stockholms stads</w:t>
        <w:br/>
        <w:br/>
        <w:t xml:space="preserve">fattigvårdsnämnd. Och allmänna barnhuset i Stockholm, som utackorderar barn landet rundt, tager icke något hem för godt utan att detta på det noggrannaste undersökts, och hemmet står sedan fortfarande under inspektion. Nu är det blott i denna lag rörande fosterbarns vård, som regeringen fann sig föranlåten att mot myndigheternas tillstyrkande taga bort koncessionstvånget, och detta har vållat de största olägenheter för många barn. Kommer så därtill, att lagen gör undantag för sådana barn som utackorderas hos farföräldrar och morföräldrar. Däraf kan uppstå den olägenheten, som mött mig flera gånger, då jag kommit in i ett hem; det hände en gång i en jämförelsevis liten stuga, där det bodde 7 personer, däraf 4 barn som egentligen bort vara under fosterbarnslagen och 3 äldre. Då hette det: Det där är min </w:t>
      </w:r>
      <w:r>
        <w:rPr>
          <w:b/>
        </w:rPr>
        <w:t>dotterson²</w:t>
      </w:r>
      <w:r>
        <w:rPr>
          <w:b w:val="0"/>
        </w:rPr>
        <w:t>, det där är mitt barnbarn och det där är mitt barn, och så står man där alldeles hjälplös och rådlös, därför att dessa som hafva barnen säga att de icke stå under fosterbarnslagen, ty de äro anförvandter till barnen.</w:t>
        <w:br/>
        <w:br/>
        <w:t>Vi hafva i Stockholm under dessa år haft tillräcklig erfarenhet huru denna lag verkar genom bristen på koncessionstvång och därigenom att undantag gjorts för barnens släktingar, äfvensom därigenom att hälsovårdsnämnden och barnavårdsnämnden stå som skilda myndigheter, då de egentligen borde vara ett för att handhafva båda lagarna, både den angående fosterbarns vård och den angående uppfostran åt vanartade och i sedligt afseende försummade barn. Därför ber jag på det varmaste, att kammaren måtte behjärta lagutskottets motivering och besluta i enlighet med lagutskottets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