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1077</w:t>
      </w:r>
    </w:p>
    <w:p>
      <w:r>
        <w:rPr>
          <w:b/>
        </w:rPr>
        <w:t xml:space="preserve">Datum: </w:t>
      </w:r>
      <w:r>
        <w:t>1908-03-28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Bror Petren (Liberala riksdagspartiet, man)</w:t>
      </w:r>
    </w:p>
    <w:p>
      <w:r>
        <w:rPr>
          <w:b w:val="0"/>
        </w:rPr>
        <w:t>Herr talman! Jag har redan genom instämmande i den förste talarens anförande visat, hvilken ståndpunkt jag intager i denna fråga. Jag hade icke heller ämnat att taga del i debatten, men det har under diskussionen yttrats vissa saker, som gjort, att jag kommit att begära ordet.</w:t>
        <w:br/>
        <w:br/>
        <w:t>Det anföres här från visst håll, att situationen är sådan, att man icke skulle hafva något annat val än att taga utskottets betänkande, sådant detta i den nu omdebatterade punkten föreligger. Det säges, att någon sammanjämkning icke är möjlig, i fall kamrarne härutinnan gå åt olika håll. Jag är naturligtvis icke tillräckligt inne i den praxis, som råder i riksdagsarbetet, för att våga afgifva ett bestämdt yttrande i denna del. Men det förefaller mig, som om det icke vore alldeles uteslutet, att, därest röstsiffrorna här i Andra Kammaren skulle gifva ett tydligt utslag till förmån för reservationen, man skulle kunna tänka sig ett frånträdande från Första Kammarens sida af dess beslut.</w:t>
        <w:br/>
        <w:br/>
        <w:t>Det må emellertid vara huru som helst med sammanjämkningsmöjligheterna. Jag förutsätter, att det icke kan blifva sammanjämkning, och frågar då: hvad har Kungl. Maj:t att göra i det skick, hvari frågan sålunda föreligger? Det synes mig, att Kungl. Maj:t endast hade ett att göra under denna förutsättning, nämligen att för årets kyrkomöte lägga fram sin proposition, i denna del oförändrad. Kyrkomötet har då, under förutsättning att röstsiffrorna i Andra Kammaren visat, att här finnes en så stark mening för reservationen, att den icke kan brytas, tre alternativ att välja emellan.</w:t>
        <w:br/>
        <w:br/>
        <w:t>Antingen låter nämligen kyrkomötet allt förblifva, såsom det nu är. Innebörden af en sådan ståndpunkt är gifvetvis den, att landets prästerskap fortfarande kommer att, såsom nu, få viga frånskilda makar; det är således icke något önskvärdt resultat för landets prästerskap. Eller också finner kyrkomötet sig böra falla undan för den folkmening, som kommit till uttryck vid den omröstning, som kommer att ske här i kammaren i dag. Eller slutligen har kyrkomötet ock den möjligheten att slå in på frågan om obligatoriskt civiläktenskap. |</w:t>
        <w:br/>
        <w:br/>
        <w:t>Jag frågar nu: hur skyddas bäst de kyrkliga intressena i detta fall? Jag vågar då för min del bestämdt påstå, att de kyrkliga intressena skulle bäst tillgodoses genom ett bifall till den kungl. propositionen oförändrad. Därmed vinnas från kyrklig synpunkt två afsevärda förmåner. För det första kommer antalet af kyrkliga vigslar beträffande frånskilda att väsentligt nedgå, i det att gifvetvis en ej ringa del af dessa frånskilda kommer att föredraga äktenskaps ingående inför borgerlig myndighet. Den andra fördelen är den, att just i de fall, som från kyrkans sida sedt nu te sig såsom mest upprörande, kommer säkerligen för framtiden kyrklig vigsel ej att anlitas. Jag tror nämligen icke,</w:t>
        <w:br/>
        <w:br/>
        <w:t>att, såsom det sagts, personer af ren trakasserilusta skulle vilja tvinga en präst att sammanviga sig.</w:t>
        <w:br/>
        <w:br/>
        <w:t>Att åter, i händelse kyrkomötet skulle bifalla den kungl. propositionen i denna del oförändrad, Första Kammaren nästa år skulle biträda detta kyrkomötets beslut, anser jag för alldeles visst.</w:t>
        <w:br/>
        <w:br/>
        <w:t>Jag vågar således säga, att det man genom anslutning till reservationen skulle kunna vinna är möjligheten att få det föreliggande lagförslaget antaget, utan att därtill fogas något tillägg af den betänkliga innebörd, som nu ifrågasättes. Det, man åter skulle förlora, är endast, att frågans afgörande uppskjutes till nästa år.</w:t>
        <w:br/>
        <w:br/>
        <w:t>Jag skulle kunna sluta här, men ber att få yttra ännu ett par ord. Pastor Pehrsson sade, att det icke var något statsintresse, som här träddes för nära, såsom fallet däremot vore med exempelvis befrielse från värnpliktsskyldigheten. Jag vågar i motsats härtill påstå, att det dock här gäller ett verkligt statsintresse, nämligen huruvida gällande lag skall hafva helgd i landet. Har man nu ändtligen vunnit enighet om att införa den i detta lagförslag innefattade valfrihet i fråga om sättet för äktenskaps ingående, så vore det väl ändock underligt, om en ämbetsman genom att säga: »Min privata åsikt stämmer icke med denna lag», skulle kunna för vissa fall göra den sålunda stadgade valfriheten mer eller mindre illusorisk. Jag tror, att om ämbetsmännen skulle kunna på dylikt sätt undandraga sig att tillämpa landets lagar, så har därmed ock rättsordningen i samhället i ej ringa mån satts på spel. Enligt min mening är det med fullt fog, som det här talats så mycket om konsekvenserna. Dessa äro nämligen i verkligheten högst betänkliga. Det finnes väl ingen ämbetsman i landet, som ej någon gång befunnit sig i den ställningen, att hans ämbetsplikt råkat i kollision med hans samvete eller hans inre rätlsmedvetande, eller hur man nu vill nämna det. Det kan vara sant, att hans betänkligheter ej alltid hafva en religiös grund, men i hvarje fall hafva de en etisk grund, som är likvärdig med den religiösa.</w:t>
        <w:br/>
        <w:br/>
        <w:t>Jag har härmed i korthet berört den så att säga principiella sidan af saken. Ser man åter saken rent praktiskt, så är min åsikt den, att det blir trakasserier för allmänheten, om den ifrågasatta särställningen medgifves för prästerna. Förhållandet är ju nämligen det, att det finnes delar af vårt land, hvarest prästerskapet på grund af där rådande bokstafstolkning allmänt skulle komma att vägra sin medverkan till äktenskaps ingående för frånskilda personer. Hvilka landskap detta närmast gäller, torde vara kändt för en hvar. Hur kommer det nu i verkligheten att gå till i dessa orter? Jo, då kontrahenterna komma till pastorsexpeditionen i sin hemort och begära att blifva vigda, lämnar prästen dem följande svar: »Nej, jag viger eder icke; jag har vissa samvetsbetänkligheter däremot och är icke pliktig att göra det». Så</w:t>
        <w:br/>
        <w:br/>
        <w:t>få dessa människor kanske gå från pastorsexpedition till pastorsexpedition och förgäfves söka att få någon, som vill viga dem. Jag frågar: är detta lämpligt, då en fakultativ rätt till kyrklig vigsel i detta hänseende blifvit i lag stadgad?</w:t>
        <w:br/>
        <w:br/>
        <w:t>Om man å andra sidan antager den kungl. propositionen i denna del, huru ställer det sig då praktiskt sedt för dessa samvetsömma präster? Jo, de säga till kontrahenterna: »Jag önskar slippa att viga eder af de och de angifna skälen»; och så lämna de i stället anvisning på en präst, som, enligt hvad de hafva sig bekant, är villig att viga dem. Det gäller således för prästerna i detta fall icke, såsom antydts, kappa och krage, utan det blir på sin höjd fråga om en ekonomisk uppoffring för anskaffande af annan vigselförrättare.</w:t>
        <w:br/>
        <w:br/>
        <w:t>Det är af dessa dels principiella och dels praktiska skäl, som jag, herr talman, ber att få yrka bifall till den kuagl. propositionen oförändrad i denna del eller med andra ord bifall till den af herr Lindhagen m. fl. afgifna reservationen.</w:t>
        <w:br/>
        <w:br/>
        <w:t xml:space="preserve">Slutligen ber jag att få påpeka ännu en sak. Det vill nämligen synas, som om denna så länge åtrådda lag i ett visst hänseende möjligen skulle kunna sägas innebära en försämring gent emot nu varande förhållanden. Det är i landets sydligaste delar ej så ovanligt, att äktenskap där ingås mellan svenska </w:t>
      </w:r>
      <w:r>
        <w:rPr>
          <w:b/>
        </w:rPr>
        <w:t>kvinnor¹</w:t>
      </w:r>
      <w:r>
        <w:rPr>
          <w:b w:val="0"/>
        </w:rPr>
        <w:t xml:space="preserve"> och utländska män, särskildt från våra grannländer Tyskland och Danmark, hvilka äga samma religionsbekännelse som vi. Läser jag nu lagförslaget rätt, så synes det förutsätta, att afslutande af äktenskap genom vigsel af präst inom svenska kyrkan skall kunna äga rum i vårt land endast då båda kontrahenterna äro medlemmar af svenska kyrkan. Om alltså i förenämnda fall kontrahenterna vilja hädanefter — såsom fallet nu merendels är — afsluta äktenskapet genom kyrklig vigsel, så måste de exempelvis resa öfver till Köpenhamn och där låta viga sig. Jag tycker, att detta är en viss olägenhet, men den har väl tillkommit för konsekvensens skull och icke kunnat undvikas.</w:t>
        <w:br/>
        <w:br/>
        <w:t>I detta anförande instämde herrar Pettersson i Södertälje, Ekman i Göteborg och Neiglick.</w:t>
      </w:r>
    </w:p>
    <w:p>
      <w:pPr>
        <w:pStyle w:val="Heading2"/>
      </w:pPr>
      <w:r>
        <w:t>2. Knut Henning Gezelius von Scheele (–, man)</w:t>
      </w:r>
    </w:p>
    <w:p>
      <w:r>
        <w:rPr>
          <w:b w:val="0"/>
        </w:rPr>
        <w:t>Herr talman! Jag ber blott att få yttra några få ord.</w:t>
        <w:br/>
        <w:br/>
        <w:t>Det första jag då skulle vilja påpeka är en fara, som här måhända icke blifvit med tillräcklig styrka framhållen, nämligen faran för skilsmässa mellan stat och kyrka, i fall Riksdagen skulle afböja den hemställan, som nu gjorts från kyrkomötets sida, och som har bakom sig en mycket stor del af Sveriges prästerskap och religiöst intresserade folk. Må man således tänka sig in i, hvad det här gäller. Förutsatt att man önskar en sådan skils-</w:t>
        <w:br/>
        <w:br/>
        <w:t>mässa, så tror jag, att ett afslag å kyrkomötets framställning är att anbefalla såsom mycket tillfredsställande; hvarom icke, bör man enligt min öfvertygelse ställa sig synnerligen betänksam däremot.</w:t>
        <w:br/>
        <w:br/>
        <w:t>Det andra, som jag velat mer i förbigående fästa uppmärksamheten på, är, att en sådan där tjänstledighet för en dag, som man här talat om, nog icke vore så lätt för en präst att erhålla. Det går icke lika lätt för en präst att få en dags ledighet och dymedelst komma ifrån en ämbetsförrättning, som han ogillar, som det visat sig kunna gå för en landssekreterare, då han önskar att komma ifrån att kontrasignera en obehaglig bestämmelse från landshöfdingens sida. Nej, man måste ingå till domkapitlet med tjänstledighetsansökan, och domkapitlet öfverväger, om skälen äro tillräckliga för att den gjorda framställningen skall kunna beviljas. Framför allt må herrarna besinna, att dagen för vigsel bestämmes icke uteslutande af prästen, utan beror väsentligen på dem, som skola förenas i äktenskap med hvarandra och dessa helt visst ibland ha svårt nog att långt i förväg bestämma dag för den högtidliga akten.</w:t>
        <w:br/>
        <w:br/>
        <w:t>Slutligen vill jag tillägga en sak med anledning af de farhågor, som framställts här, att beteckningen »kristlig» skulle komma att utgå ur lysningsformuläret för de personer, som falla under den kategori, hvarom nu är fråga. Med den sakkännedom och erfarenhet, jag på detta område bör ha, kan jag försäkra, att enligt min öfvertygelse aldrig vidare kommer att med någon utsikt till framgång väckas det förslaget, att vid lysningens afkunnande dessa äktenskapsförbindelser skulle blifva genom uteslutning af sagda epitet kännetecknade såsom icke-kristliga, liksom fallet nu är, om förbundet ingås af en jude med en kristen. Hvad som kan i framtiden väntas är måhända borttagande helt och hållet ur lysningen af denna vanskliga beteckning.</w:t>
        <w:br/>
        <w:br/>
        <w:t>Då jag, herr talman, varit bland dem, som instämt i den förevarande motionen, är min ställning gifven, hvadan jag endast har att vördsamt yrka bifall till hvad utskottet härutinnan föreslagit.</w:t>
      </w:r>
    </w:p>
    <w:p>
      <w:pPr>
        <w:pStyle w:val="Heading2"/>
      </w:pPr>
      <w:r>
        <w:t>3. Carl Persson (Lantmanna- och borgarepartiet inom andrakammaren, man)</w:t>
      </w:r>
    </w:p>
    <w:p>
      <w:r>
        <w:rPr>
          <w:b w:val="0"/>
        </w:rPr>
        <w:t>Det blir väl votering i denna fråga; och då får man väl se, hvilken mening som har de flesta anhängarna. För min del ber jag att redan nu få säga, att jag kommer att med min röst bidraga till framgång åt reservationen. Det har framhållits här, att för den händelse Andra Kammaren skulle fatta ett beslut i enlighet med reservanternas yrkande, hela denna fråga därmed skulle vara fallen. Huruvida så skulle ske, vet jag icke; men ordföranden i lagutskottet har i sitt anförande i Första Kammaren förklarat, att äfven om kamrarna skulle stanna i olika beslut, han för sin del icke trodde, att frågan därmed vore fallen. Det kunde ju anföras många fall här i Riksdagen, då en</w:t>
        <w:br/>
        <w:br/>
        <w:t>fråga gått igenom med mera olika beslut, än hvad det här kan gälla att sammanjämka. Jag vill endast erinra om de olika besluten rörande den nu gällande prästvalsförordningen. Andra Kammaren hade helt och hållet afslagit en paragraf, under det att Första Kammaren godkänt den; men det oaktadt upphöjdes denna bestämmelse till lag genom en sammanjämkning. Jag tror därför för min del icke, att det skulle vara så farligt, om Andra Kammaren fattade ett annat beslut, än det som fattats af Första Kammaren. Men låt vara, att detta lagförslag faller. Kunna herrarna uppvisa en enda viktig lag, som ej blifvit afslagen vid någon riksdag på grund af sådana här olika beslut kamrarna emellan? Hafva dessa lagar därför för all framtid fallit? Ingalunda, de hafva sedan framkommit i en förbättrad form, som mera tilltalat såväl Riksdagen som det svenska folket. Någon försämring i sådana fall har icke förekommit, utan tvärtom förbättring; vi behöfva därför icke sörja, för den händelse denna lag skulle falla.</w:t>
        <w:br/>
        <w:br/>
        <w:t xml:space="preserve">Nu har här talats om samvetsbetänkligheter. Jag skall för min del icke förneka, att sådana finnas på många områden; men man får väl ändå skilja på sådana, som gälla det stora flertalet af svenska folket, och sådana som endast finnas hos den lärda delen af svenska folket. Hvarje människa födes Ju till att vara en medborgare i Sverige — såvida </w:t>
      </w:r>
      <w:r>
        <w:rPr>
          <w:b/>
        </w:rPr>
        <w:t>hon²</w:t>
      </w:r>
      <w:r>
        <w:rPr>
          <w:b w:val="0"/>
        </w:rPr>
        <w:t xml:space="preserve"> stannar kvar där — men hvarje människa födes icke till att vara en statens tjänsteman. Af hvarje svensk medborgare fordras ett visst kunskapsmått, såsom man finner af folkskolestadgan; men ett betydligt större kunskapsmått fordras för den, som skall bekläda det ena eller andra statsämbetet. Således hvar och en, som skall inträda i statens tjänst, vet på förhand, hvad han i denna sin tjänst har att uträtta; och då får han väl företaga sin samvetspröfning, innan han söker befattningen. Skulle utöfningen af befattningen innebära sådant, som strider mot hans samvete, då är det tydligt och klart, att han icke söker densamma.</w:t>
        <w:br/>
        <w:br/>
        <w:t>Nu kan man säga: ja, detta är allmänna resonemang; men hvad gäller den föreliggande frågan? Det gäller här icke att pålägga ett nytt bud eller en ny ämbetsplikt. Vore det så, så vore jag gifvetvis den förste att rösta emot något sådant; men här är icke fråga om att pålägga utan om att borttaga. Det är sålunda tydligt, att man här icke kan tala om samvetsbetänkligheter i egentlig bemärkelse, då det ju blott gäller att befria personer från redan påtagna förpliktelser. Jag hemställer till herrarnas afgörande, hur det skall gå för våra präster, som ju hafva en missionerande verksamhet i våra försam. lingar sig anförtrodd. Hos den olärda allmogen finnes det ju ofantligt mycket samvetsbetänkligheter mot att underkasta sig än det ena, än det andra. Och på landet äro i allmänhet prästerna de lärdaste männen i församlingen, och dessa hafva till</w:t>
        <w:br/>
        <w:br/>
        <w:t>uppgilt att genom sin mission och sin ämbetsverksamhet öfvertyga sina församlingsbor om att de måste underordna sina samvetsbetänkligheter under det allmännas kraf. Det skola de göra med tillhjälp af sin högre upplysning. Nu kan ju en församlingsmedlem, som varit föremål för denna välbehöfliga missionsverksamhet, komma och säga: Ja, men Ni har på grund af en samvetsbetänklighet sökt befrielse ifrån en Eder åliggande ämbetsplikt. Hur vill Ni öfvertyga mig om, att jag icke bör motsätta mig en mig eljest åliggande skyldighet på grund af samvetsbetänkligheter? Då är ju frukten af prästens missionsverksamhet honom betagen. Jag är en stor vän och försvarare af statskyrkan och gör allt hvad jag kan för densamma, men jag tror, att det skulle skada den svenska kyrkan, om en dylik lag blefve godkänd med detta af motionärerna gjorda tillägg.</w:t>
        <w:br/>
        <w:br/>
        <w:t>Det kunde ju vara mycket mer att säga, men kanske borde jag sluta. Jag tror i alla fall, att man bör vara försiktig, då det är fråga om sådana här saker, så att man ej går alltför hastigt till väga med antagandet af dylika lagar. Det komme nämligen att medföra vidtgående följder, om man på detta sätt meddelade den lärdaste delen af folket rätt att på grund af samvetsbetänkligheter vägra att fullgöra sina åtagna ämbetsplikter. Därför tror jag, att äfven de, som för öfrigt önska den ifrågasatta förändringen, icke komma att klaga, om lagen med detta tillägg icke antages. Jag kan ej underlåta att uppläsa hvad som står på sid. 12 i utskottets betänkande, d. v. s. ej detsamma som förut blifvit uppläst utan det, som går ut därpå, att en prästman, som anser sig ha samvetsbetänkligheter, skulle äga rätt att ensam efter sin åsikt pröfva saken. »Ofta», säges det nämligen, »kan kännedom om förhållandena göra, att det i ett fall kännes såsom en samvetssak att vägra vigsel af frånskild, i ett annat är det lika mycket samvetssak att icke vägra och detta ganska oberoende af de officiella skilsmässoorsakerna.&gt; HSålunda: samma orsak som för den ene gjorde det till en samvetssak att vägra vigsel, skulle för den andre göra det till en samvetssak att icke vägra Kan man gå med på, att en dylik frihet och myndighet lämnas att pröfva andras tankar och inre förhållanden? Jag tror för min del, att man genom att godkänna reservationen gagnar svenska kyrkan mera, än om man antar det af lagutskottet gjorda tillägget.</w:t>
        <w:br/>
        <w:br/>
        <w:t>Jag ber, herr talman, att få yrka bifall till det först af herr Lindhagen framställda 'yrkandet.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1077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